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FF004A"/>
          <w:sz w:val="36"/>
        </w:rPr>
        <w:t>Fiche Outil 1 – Checklist étagée d’onboarding : de J-15 à J+90</w:t>
      </w:r>
    </w:p>
    <w:p>
      <w:r>
        <w:rPr>
          <w:rFonts w:ascii="Arial" w:hAnsi="Arial"/>
          <w:sz w:val="18"/>
        </w:rPr>
        <w:t>Objectif : sécuriser chaque étape d’intégration en clarifiant les actions RH/IT, managériales et parrainage.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Échéance</w:t>
            </w:r>
          </w:p>
        </w:tc>
        <w:tc>
          <w:tcPr>
            <w:tcW w:type="dxa" w:w="3108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RH / IT</w:t>
            </w:r>
          </w:p>
        </w:tc>
        <w:tc>
          <w:tcPr>
            <w:tcW w:type="dxa" w:w="3108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Manager</w:t>
            </w:r>
          </w:p>
        </w:tc>
        <w:tc>
          <w:tcPr>
            <w:tcW w:type="dxa" w:w="3108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Parrain / Buddy</w:t>
            </w:r>
          </w:p>
        </w:tc>
        <w:tc>
          <w:tcPr>
            <w:tcW w:type="dxa" w:w="3108"/>
            <w:vAlign w:val="center"/>
            <w:shd w:fill="202020"/>
          </w:tcPr>
          <w:p>
            <w:r/>
            <w:r>
              <w:rPr>
                <w:rFonts w:ascii="Arial" w:hAnsi="Arial"/>
                <w:b/>
                <w:sz w:val="16"/>
              </w:rPr>
              <w:t>Livrable de contrôle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Preboarding</w:t>
              <w:br/>
              <w:t>J-15 à J-1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Contrat, dossier RH, matériel, badge, accès, planning logistique.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Message d’accueil, planning semaine 1, objectifs initiaux.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Premier contact, déjeuner J1, repères informels.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Poste prêt avant J1 ; dossier complet.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Jour 1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Accueil administratif, remise badge, vérification poste IT.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Accueil équipe, raison d’être du poste, premières consignes.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Visite informelle, codes internes, accompagnement pratique.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Installation opérationnelle à 100 %.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Semaine 1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Formations outils, support accès, suivi des irritants.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Objectifs à 30 jours, première tâche simple, débrief fin semaine.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Réponses quotidiennes, mise en relation avec interlocuteurs clés.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Point J7 réalisé ; irritants traités.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Mois 1</w:t>
              <w:br/>
              <w:t>J30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eNPS onboarding J30, trame rapport d’étonnement.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Entretien formel J30, ajustement ramp-up plan.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Point informel café parrain, remontée des signaux faibles.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Objectifs J30 validés ; plan ajusté.</w:t>
            </w:r>
          </w:p>
        </w:tc>
      </w:tr>
      <w:tr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/>
                <w:sz w:val="15"/>
              </w:rPr>
              <w:t>Mois 3</w:t>
              <w:br/>
              <w:t>J90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Consolidation rapport d’étonnement, traitement administratif confirmation.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Entretien de fin de période d’essai, objectifs annuels.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Clôture du parrainage et passage de relais.</w:t>
            </w:r>
          </w:p>
        </w:tc>
        <w:tc>
          <w:tcPr>
            <w:tcW w:type="dxa" w:w="3108"/>
            <w:vAlign w:val="center"/>
          </w:tcPr>
          <w:p>
            <w:r/>
            <w:r>
              <w:rPr>
                <w:rFonts w:ascii="Arial" w:hAnsi="Arial"/>
                <w:b w:val="0"/>
                <w:sz w:val="15"/>
              </w:rPr>
              <w:t>Confirmation ou décision documentée.</w:t>
            </w:r>
          </w:p>
        </w:tc>
      </w:tr>
    </w:tbl>
    <w:p>
      <w:r>
        <w:t>Indicateurs recommandés : taux de confirmation des périodes d’essai, time-to-productivity, eNPS onboarding J30/J90, rétention à 12 mois.</w:t>
      </w:r>
    </w:p>
    <w:sectPr w:rsidR="00FC693F" w:rsidRPr="0006063C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