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FF004A"/>
          <w:sz w:val="32"/>
        </w:rPr>
        <w:t>Fiche outil - Dashboard DRH CODIR 2027</w:t>
      </w:r>
    </w:p>
    <w:p>
      <w:pPr>
        <w:jc w:val="center"/>
      </w:pPr>
      <w:r>
        <w:rPr>
          <w:color w:val="505050"/>
          <w:sz w:val="18"/>
        </w:rPr>
        <w:t>Maquette de restitution synthétique en une page</w:t>
      </w:r>
    </w:p>
    <w:p>
      <w:r>
        <w:t>Objectif : présenter trimestriellement au CODIR les indicateurs RH qui appellent une décision budgétaire, organisationnelle ou managériale.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332"/>
        <w:gridCol w:w="1332"/>
        <w:gridCol w:w="1332"/>
        <w:gridCol w:w="1332"/>
        <w:gridCol w:w="1332"/>
        <w:gridCol w:w="1332"/>
        <w:gridCol w:w="1332"/>
        <w:gridCol w:w="1332"/>
      </w:tblGrid>
      <w:tr>
        <w:tc>
          <w:tcPr>
            <w:tcW w:type="dxa" w:w="1332"/>
            <w:shd w:fill="FF004A"/>
          </w:tcPr>
          <w:p>
            <w:r/>
            <w:r>
              <w:rPr>
                <w:b/>
                <w:color w:val="FFFFFF"/>
                <w:sz w:val="17"/>
              </w:rPr>
              <w:t>Pilier</w:t>
            </w:r>
          </w:p>
        </w:tc>
        <w:tc>
          <w:tcPr>
            <w:tcW w:type="dxa" w:w="1332"/>
            <w:shd w:fill="FF004A"/>
          </w:tcPr>
          <w:p>
            <w:r/>
            <w:r>
              <w:rPr>
                <w:b/>
                <w:color w:val="FFFFFF"/>
                <w:sz w:val="17"/>
              </w:rPr>
              <w:t>KPI</w:t>
            </w:r>
          </w:p>
        </w:tc>
        <w:tc>
          <w:tcPr>
            <w:tcW w:type="dxa" w:w="1332"/>
            <w:shd w:fill="FF004A"/>
          </w:tcPr>
          <w:p>
            <w:r/>
            <w:r>
              <w:rPr>
                <w:b/>
                <w:color w:val="FFFFFF"/>
                <w:sz w:val="17"/>
              </w:rPr>
              <w:t>Réel T0</w:t>
            </w:r>
          </w:p>
        </w:tc>
        <w:tc>
          <w:tcPr>
            <w:tcW w:type="dxa" w:w="1332"/>
            <w:shd w:fill="FF004A"/>
          </w:tcPr>
          <w:p>
            <w:r/>
            <w:r>
              <w:rPr>
                <w:b/>
                <w:color w:val="FFFFFF"/>
                <w:sz w:val="17"/>
              </w:rPr>
              <w:t>Cible 2027</w:t>
            </w:r>
          </w:p>
        </w:tc>
        <w:tc>
          <w:tcPr>
            <w:tcW w:type="dxa" w:w="1332"/>
            <w:shd w:fill="FF004A"/>
          </w:tcPr>
          <w:p>
            <w:r/>
            <w:r>
              <w:rPr>
                <w:b/>
                <w:color w:val="FFFFFF"/>
                <w:sz w:val="17"/>
              </w:rPr>
              <w:t>Écart</w:t>
            </w:r>
          </w:p>
        </w:tc>
        <w:tc>
          <w:tcPr>
            <w:tcW w:type="dxa" w:w="1332"/>
            <w:shd w:fill="FF004A"/>
          </w:tcPr>
          <w:p>
            <w:r/>
            <w:r>
              <w:rPr>
                <w:b/>
                <w:color w:val="FFFFFF"/>
                <w:sz w:val="17"/>
              </w:rPr>
              <w:t>Statut</w:t>
            </w:r>
          </w:p>
        </w:tc>
        <w:tc>
          <w:tcPr>
            <w:tcW w:type="dxa" w:w="1332"/>
            <w:shd w:fill="FF004A"/>
          </w:tcPr>
          <w:p>
            <w:r/>
            <w:r>
              <w:rPr>
                <w:b/>
                <w:color w:val="FFFFFF"/>
                <w:sz w:val="17"/>
              </w:rPr>
              <w:t>Impact business</w:t>
            </w:r>
          </w:p>
        </w:tc>
        <w:tc>
          <w:tcPr>
            <w:tcW w:type="dxa" w:w="1332"/>
            <w:shd w:fill="FF004A"/>
          </w:tcPr>
          <w:p>
            <w:r/>
            <w:r>
              <w:rPr>
                <w:b/>
                <w:color w:val="FFFFFF"/>
                <w:sz w:val="17"/>
              </w:rPr>
              <w:t>Arbitrage requis</w:t>
            </w:r>
          </w:p>
        </w:tc>
      </w:tr>
      <w:tr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Efficience masse salariale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Ratio TCOW / CA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38,5 %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36,0 %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+2,5 pts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Rouge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Dépassement budgétaire de 1,8 M MAD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Gel hors postes stratégiques</w:t>
            </w:r>
          </w:p>
        </w:tc>
      </w:tr>
      <w:tr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Efficience masse salariale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Coût absentéisme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850 k MAD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500 k MAD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+350 k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Orange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Perte de marge opérationnelle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Plan prévention QVT / ergonomie</w:t>
            </w:r>
          </w:p>
        </w:tc>
      </w:tr>
      <w:tr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Investissement talent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ROI re-skilling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1,2x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2,5x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+1,3 pt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Vert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Économie recrutement externe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Validation tranche 2 formation</w:t>
            </w:r>
          </w:p>
        </w:tc>
      </w:tr>
      <w:tr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Investissement talent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Time-to-productivity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110 j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60 j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-50 j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Orange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Retard projets clients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Refonte onboarding</w:t>
            </w:r>
          </w:p>
        </w:tc>
      </w:tr>
      <w:tr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Santé organisationnelle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Turnover regrettable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14,2 %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6,0 %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+8,2 pts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Rouge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Départ profils rares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Révision C&amp;B ciblée</w:t>
            </w:r>
          </w:p>
        </w:tc>
      </w:tr>
      <w:tr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Santé organisationnelle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Spans &amp; Layers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7 niveaux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5 niveaux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-2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Vert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Productivité managériale</w:t>
            </w:r>
          </w:p>
        </w:tc>
        <w:tc>
          <w:tcPr>
            <w:tcW w:type="dxa" w:w="1332"/>
          </w:tcPr>
          <w:p>
            <w:r/>
            <w:r>
              <w:rPr>
                <w:b w:val="0"/>
                <w:sz w:val="17"/>
              </w:rPr>
              <w:t>Simplification structure</w:t>
            </w:r>
          </w:p>
        </w:tc>
      </w:tr>
    </w:tbl>
    <w:p>
      <w:r>
        <w:t>Règle d’usage : aucun KPI ne doit être présenté sans cause racine, impact financier et décision attendue.</w:t>
      </w:r>
    </w:p>
    <w:p>
      <w:r>
        <w:rPr>
          <w:b/>
        </w:rPr>
        <w:t xml:space="preserve">Questions CODIR à préparer : </w:t>
      </w:r>
      <w:r>
        <w:t>Quel risque si aucune décision n’est prise ? Quel coût évité ? Quel délai de retour ? Quel sponsor métier ?</w:t>
      </w:r>
    </w:p>
    <w:sectPr w:rsidR="00FC693F" w:rsidRPr="0006063C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3262D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3262D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