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FF004A"/>
          <w:sz w:val="28"/>
        </w:rPr>
        <w:t>Fiche outil - Dimensionnement TA et Cost-per-Hire 2027</w:t>
      </w:r>
    </w:p>
    <w:p>
      <w:pPr>
        <w:jc w:val="center"/>
      </w:pPr>
      <w:r>
        <w:t>Calculer la capacité de recrutement interne, objectiver les besoins ETP et budgétiser le coût complet par embauche.</w:t>
      </w:r>
    </w:p>
    <w:p>
      <w:r>
        <w:rPr>
          <w:b/>
          <w:color w:val="FF004A"/>
          <w:sz w:val="20"/>
        </w:rPr>
        <w:t>1. Dimensionnement des ressources Talent Acquisition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89"/>
        <w:gridCol w:w="2189"/>
        <w:gridCol w:w="2189"/>
        <w:gridCol w:w="2189"/>
        <w:gridCol w:w="2189"/>
      </w:tblGrid>
      <w:tr>
        <w:tc>
          <w:tcPr>
            <w:tcW w:type="dxa" w:w="2189"/>
            <w:vAlign w:val="center"/>
            <w:shd w:fill="FF004A"/>
          </w:tcPr>
          <w:p>
            <w:pPr>
              <w:jc w:val="left"/>
            </w:pPr>
            <w:r/>
            <w:r>
              <w:rPr>
                <w:b/>
                <w:color w:val="FFFFFF"/>
                <w:sz w:val="14"/>
              </w:rPr>
              <w:t>Catégorie de profils</w:t>
            </w:r>
          </w:p>
        </w:tc>
        <w:tc>
          <w:tcPr>
            <w:tcW w:type="dxa" w:w="2189"/>
            <w:vAlign w:val="center"/>
            <w:shd w:fill="FF004A"/>
          </w:tcPr>
          <w:p>
            <w:pPr>
              <w:jc w:val="left"/>
            </w:pPr>
            <w:r/>
            <w:r>
              <w:rPr>
                <w:b/>
                <w:color w:val="FFFFFF"/>
                <w:sz w:val="14"/>
              </w:rPr>
              <w:t>Volume 2027</w:t>
            </w:r>
          </w:p>
        </w:tc>
        <w:tc>
          <w:tcPr>
            <w:tcW w:type="dxa" w:w="2189"/>
            <w:vAlign w:val="center"/>
            <w:shd w:fill="FF004A"/>
          </w:tcPr>
          <w:p>
            <w:pPr>
              <w:jc w:val="left"/>
            </w:pPr>
            <w:r/>
            <w:r>
              <w:rPr>
                <w:b/>
                <w:color w:val="FFFFFF"/>
                <w:sz w:val="14"/>
              </w:rPr>
              <w:t>Capacité étalon</w:t>
            </w:r>
          </w:p>
        </w:tc>
        <w:tc>
          <w:tcPr>
            <w:tcW w:type="dxa" w:w="2189"/>
            <w:vAlign w:val="center"/>
            <w:shd w:fill="FF004A"/>
          </w:tcPr>
          <w:p>
            <w:pPr>
              <w:jc w:val="left"/>
            </w:pPr>
            <w:r/>
            <w:r>
              <w:rPr>
                <w:b/>
                <w:color w:val="FFFFFF"/>
                <w:sz w:val="14"/>
              </w:rPr>
              <w:t>ETP requis</w:t>
            </w:r>
          </w:p>
        </w:tc>
        <w:tc>
          <w:tcPr>
            <w:tcW w:type="dxa" w:w="2189"/>
            <w:vAlign w:val="center"/>
            <w:shd w:fill="FF004A"/>
          </w:tcPr>
          <w:p>
            <w:pPr>
              <w:jc w:val="left"/>
            </w:pPr>
            <w:r/>
            <w:r>
              <w:rPr>
                <w:b/>
                <w:color w:val="FFFFFF"/>
                <w:sz w:val="14"/>
              </w:rPr>
              <w:t>Mode de traitement</w:t>
            </w:r>
          </w:p>
        </w:tc>
      </w:tr>
      <w:tr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Profils opérationnels / volume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 embauches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60 à 90/an/recruteur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 ETP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Process standardisé, sessions collectives</w:t>
            </w:r>
          </w:p>
        </w:tc>
      </w:tr>
      <w:tr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Cadres intermédiaires / métiers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 embauches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20 à 35/an/recruteur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 ETP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Sourcing mixte, entretiens approfondis</w:t>
            </w:r>
          </w:p>
        </w:tc>
      </w:tr>
      <w:tr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Experts / profils pénuriques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 embauches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8 à 15/an/recruteur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 ETP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Chasse directe, réseau, évaluation longue</w:t>
            </w:r>
          </w:p>
        </w:tc>
      </w:tr>
      <w:tr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Total plan 2027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 embauches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-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 ETP</w:t>
            </w:r>
          </w:p>
        </w:tc>
        <w:tc>
          <w:tcPr>
            <w:tcW w:type="dxa" w:w="2189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Écart à couvrir : interne / cabinet / cooptation</w:t>
            </w:r>
          </w:p>
        </w:tc>
      </w:tr>
    </w:tbl>
    <w:p/>
    <w:p>
      <w:r>
        <w:rPr>
          <w:b/>
          <w:color w:val="FF004A"/>
          <w:sz w:val="20"/>
        </w:rPr>
        <w:t>Formule de charge</w:t>
      </w:r>
    </w:p>
    <w:p>
      <w:pPr>
        <w:spacing w:after="40"/>
      </w:pPr>
      <w:r>
        <w:t>Effectif TA requis = Somme (volume d’embauches prévu par catégorie / capacité annuelle étalon du recruteur) x (1 + marge d’attrition TA).</w:t>
      </w:r>
    </w:p>
    <w:p>
      <w:r>
        <w:rPr>
          <w:b/>
          <w:color w:val="FF004A"/>
          <w:sz w:val="20"/>
        </w:rPr>
        <w:t>2. Calcul du Cost-per-Hire complet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48"/>
        <w:gridCol w:w="3648"/>
        <w:gridCol w:w="3648"/>
      </w:tblGrid>
      <w:tr>
        <w:tc>
          <w:tcPr>
            <w:tcW w:type="dxa" w:w="3648"/>
            <w:vAlign w:val="center"/>
            <w:shd w:fill="FF004A"/>
          </w:tcPr>
          <w:p>
            <w:pPr>
              <w:jc w:val="left"/>
            </w:pPr>
            <w:r/>
            <w:r>
              <w:rPr>
                <w:b/>
                <w:color w:val="FFFFFF"/>
                <w:sz w:val="14"/>
              </w:rPr>
              <w:t>Famille de coûts</w:t>
            </w:r>
          </w:p>
        </w:tc>
        <w:tc>
          <w:tcPr>
            <w:tcW w:type="dxa" w:w="3648"/>
            <w:vAlign w:val="center"/>
            <w:shd w:fill="FF004A"/>
          </w:tcPr>
          <w:p>
            <w:pPr>
              <w:jc w:val="left"/>
            </w:pPr>
            <w:r/>
            <w:r>
              <w:rPr>
                <w:b/>
                <w:color w:val="FFFFFF"/>
                <w:sz w:val="14"/>
              </w:rPr>
              <w:t>Montant annuel MAD</w:t>
            </w:r>
          </w:p>
        </w:tc>
        <w:tc>
          <w:tcPr>
            <w:tcW w:type="dxa" w:w="3648"/>
            <w:vAlign w:val="center"/>
            <w:shd w:fill="FF004A"/>
          </w:tcPr>
          <w:p>
            <w:pPr>
              <w:jc w:val="left"/>
            </w:pPr>
            <w:r/>
            <w:r>
              <w:rPr>
                <w:b/>
                <w:color w:val="FFFFFF"/>
                <w:sz w:val="14"/>
              </w:rPr>
              <w:t>Commentaires</w:t>
            </w:r>
          </w:p>
        </w:tc>
      </w:tr>
      <w:tr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Honoraires cabinets / chasse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__________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Factures et success fees</w:t>
            </w:r>
          </w:p>
        </w:tc>
      </w:tr>
      <w:tr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Jobboards, CVthèques, LinkedIn, campagnes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__________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Abonnements et sponsoring</w:t>
            </w:r>
          </w:p>
        </w:tc>
      </w:tr>
      <w:tr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ATS, tests, outils d’évaluation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__________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Licences et coûts techniques</w:t>
            </w:r>
          </w:p>
        </w:tc>
      </w:tr>
      <w:tr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Salons, événements, marque employeur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__________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Coûts directs de visibilité</w:t>
            </w:r>
          </w:p>
        </w:tc>
      </w:tr>
      <w:tr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Masse salariale chargée équipe TA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__________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Recruteurs, sourcers, coordinateurs</w:t>
            </w:r>
          </w:p>
        </w:tc>
      </w:tr>
      <w:tr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Temps valorisé des managers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__________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Heures d’entretien x coût horaire chargé</w:t>
            </w:r>
          </w:p>
        </w:tc>
      </w:tr>
      <w:tr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Primes de cooptation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__________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Montants versés après confirmation</w:t>
            </w:r>
          </w:p>
        </w:tc>
      </w:tr>
      <w:tr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Coût total recrutement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__________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Dépenses externes + internes</w:t>
            </w:r>
          </w:p>
        </w:tc>
      </w:tr>
      <w:tr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Cost-per-Hire moyen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__________</w:t>
            </w:r>
          </w:p>
        </w:tc>
        <w:tc>
          <w:tcPr>
            <w:tcW w:type="dxa" w:w="3648"/>
            <w:vAlign w:val="center"/>
          </w:tcPr>
          <w:p>
            <w:pPr>
              <w:jc w:val="left"/>
            </w:pPr>
            <w:r/>
            <w:r>
              <w:rPr>
                <w:b w:val="0"/>
                <w:color w:val="000000"/>
                <w:sz w:val="14"/>
              </w:rPr>
              <w:t>Coût total / nombre d’embauches</w:t>
            </w:r>
          </w:p>
        </w:tc>
      </w:tr>
    </w:tbl>
    <w:p/>
    <w:p>
      <w:r>
        <w:rPr>
          <w:b/>
          <w:color w:val="FF004A"/>
          <w:sz w:val="20"/>
        </w:rPr>
        <w:t>3. Arbitrage interne / externe</w:t>
      </w:r>
    </w:p>
    <w:p>
      <w:pPr>
        <w:spacing w:after="40"/>
      </w:pPr>
      <w:r>
        <w:t>Un recruteur interne devient rentable lorsque son coût annuel complet est inférieur au coût cumulé des mandats cabinets qu’il remplace. Exemple : si un cabinet facture 60 000 MAD par recrutement et qu’un recruteur senior coûte 360 000 MAD/an, le seuil de rentabilité est atteint au-delà de 6 recrutements par an.</w:t>
      </w:r>
    </w:p>
    <w:sectPr w:rsidR="00FC693F" w:rsidRPr="0006063C" w:rsidSect="00034616">
      <w:pgSz w:w="12240" w:h="15840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