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FF004A"/>
          <w:sz w:val="36"/>
        </w:rPr>
        <w:t>Fiche Outil 1 - Grille d’audit et de rationalisation du panel prestataires RH</w:t>
      </w:r>
    </w:p>
    <w:p>
      <w:r>
        <w:rPr>
          <w:sz w:val="18"/>
        </w:rPr>
        <w:t>Objectif : évaluer la performance, le risque et la compétitivité tarifaire des prestataires RH avant reconduction, renégociation ou mise en concurrence pour l’exercice 2027.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vAlign w:val="center"/>
            <w:shd w:fill="FF004A"/>
          </w:tcPr>
          <w:p>
            <w:r/>
            <w:r>
              <w:rPr>
                <w:b/>
                <w:color w:val="FFFFFF"/>
                <w:sz w:val="16"/>
              </w:rPr>
              <w:t>Nom du prestataire</w:t>
            </w:r>
          </w:p>
        </w:tc>
        <w:tc>
          <w:tcPr>
            <w:tcW w:type="dxa" w:w="7913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</w:r>
          </w:p>
        </w:tc>
      </w:tr>
      <w:tr>
        <w:tc>
          <w:tcPr>
            <w:tcW w:type="dxa" w:w="7913"/>
            <w:vAlign w:val="center"/>
            <w:shd w:fill="FF004A"/>
          </w:tcPr>
          <w:p>
            <w:r/>
            <w:r>
              <w:rPr>
                <w:b/>
                <w:color w:val="FFFFFF"/>
                <w:sz w:val="16"/>
              </w:rPr>
              <w:t>Famille d’achat</w:t>
            </w:r>
          </w:p>
        </w:tc>
        <w:tc>
          <w:tcPr>
            <w:tcW w:type="dxa" w:w="7913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Recrutement / HR Tech / Formation / Conseil / Paie / Autre</w:t>
            </w:r>
          </w:p>
        </w:tc>
      </w:tr>
      <w:tr>
        <w:tc>
          <w:tcPr>
            <w:tcW w:type="dxa" w:w="7913"/>
            <w:vAlign w:val="center"/>
            <w:shd w:fill="FF004A"/>
          </w:tcPr>
          <w:p>
            <w:r/>
            <w:r>
              <w:rPr>
                <w:b/>
                <w:color w:val="FFFFFF"/>
                <w:sz w:val="16"/>
              </w:rPr>
              <w:t>Dépense annuelle cumulée</w:t>
            </w:r>
          </w:p>
        </w:tc>
        <w:tc>
          <w:tcPr>
            <w:tcW w:type="dxa" w:w="7913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________ MAD</w:t>
            </w:r>
          </w:p>
        </w:tc>
      </w:tr>
      <w:tr>
        <w:tc>
          <w:tcPr>
            <w:tcW w:type="dxa" w:w="7913"/>
            <w:vAlign w:val="center"/>
            <w:shd w:fill="FF004A"/>
          </w:tcPr>
          <w:p>
            <w:r/>
            <w:r>
              <w:rPr>
                <w:b/>
                <w:color w:val="FFFFFF"/>
                <w:sz w:val="16"/>
              </w:rPr>
              <w:t>Évaluateur RH / manager</w:t>
            </w:r>
          </w:p>
        </w:tc>
        <w:tc>
          <w:tcPr>
            <w:tcW w:type="dxa" w:w="7913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5"/>
        <w:gridCol w:w="5275"/>
        <w:gridCol w:w="5275"/>
      </w:tblGrid>
      <w:tr>
        <w:tc>
          <w:tcPr>
            <w:tcW w:type="dxa" w:w="5275"/>
            <w:vAlign w:val="center"/>
            <w:shd w:fill="20242A"/>
          </w:tcPr>
          <w:p>
            <w:r/>
            <w:r>
              <w:rPr>
                <w:b/>
                <w:color w:val="FFFFFF"/>
                <w:sz w:val="16"/>
              </w:rPr>
              <w:t>Critère d’audit</w:t>
            </w:r>
          </w:p>
        </w:tc>
        <w:tc>
          <w:tcPr>
            <w:tcW w:type="dxa" w:w="5275"/>
            <w:vAlign w:val="center"/>
            <w:shd w:fill="20242A"/>
          </w:tcPr>
          <w:p>
            <w:r/>
            <w:r>
              <w:rPr>
                <w:b/>
                <w:color w:val="FFFFFF"/>
                <w:sz w:val="16"/>
              </w:rPr>
              <w:t>Note / 5</w:t>
            </w:r>
          </w:p>
        </w:tc>
        <w:tc>
          <w:tcPr>
            <w:tcW w:type="dxa" w:w="5275"/>
            <w:vAlign w:val="center"/>
            <w:shd w:fill="20242A"/>
          </w:tcPr>
          <w:p>
            <w:r/>
            <w:r>
              <w:rPr>
                <w:b/>
                <w:color w:val="FFFFFF"/>
                <w:sz w:val="16"/>
              </w:rPr>
              <w:t>Commentaires / preuves</w:t>
            </w:r>
          </w:p>
        </w:tc>
      </w:tr>
      <w:tr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Respect des délais et des échéances livrables</w:t>
            </w:r>
          </w:p>
        </w:tc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__ / 5</w:t>
            </w:r>
          </w:p>
        </w:tc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</w:r>
          </w:p>
        </w:tc>
      </w:tr>
      <w:tr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Qualité technique des livrables, profils ou outils</w:t>
            </w:r>
          </w:p>
        </w:tc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__ / 5</w:t>
            </w:r>
          </w:p>
        </w:tc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</w:r>
          </w:p>
        </w:tc>
      </w:tr>
      <w:tr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Réactivité et disponibilité du chef de projet</w:t>
            </w:r>
          </w:p>
        </w:tc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__ / 5</w:t>
            </w:r>
          </w:p>
        </w:tc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</w:r>
          </w:p>
        </w:tc>
      </w:tr>
      <w:tr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Alignement avec le cahier des charges initial</w:t>
            </w:r>
          </w:p>
        </w:tc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__ / 5</w:t>
            </w:r>
          </w:p>
        </w:tc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</w:r>
          </w:p>
        </w:tc>
      </w:tr>
      <w:tr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Compréhension de la culture et des contraintes de l’entreprise</w:t>
            </w:r>
          </w:p>
        </w:tc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__ / 5</w:t>
            </w:r>
          </w:p>
        </w:tc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</w:r>
          </w:p>
        </w:tc>
      </w:tr>
      <w:tr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Niveau des prix par rapport au marché</w:t>
            </w:r>
          </w:p>
        </w:tc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__ / 5</w:t>
            </w:r>
          </w:p>
        </w:tc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</w:r>
          </w:p>
        </w:tc>
      </w:tr>
      <w:tr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Transparence de la facturation et absence de surcoûts</w:t>
            </w:r>
          </w:p>
        </w:tc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__ / 5</w:t>
            </w:r>
          </w:p>
        </w:tc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</w:r>
          </w:p>
        </w:tc>
      </w:tr>
      <w:tr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Capacité de reporting et de pilotage SLA</w:t>
            </w:r>
          </w:p>
        </w:tc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__ / 5</w:t>
            </w:r>
          </w:p>
        </w:tc>
        <w:tc>
          <w:tcPr>
            <w:tcW w:type="dxa" w:w="5275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vAlign w:val="center"/>
            <w:shd w:fill="FF004A"/>
          </w:tcPr>
          <w:p>
            <w:r/>
            <w:r>
              <w:rPr>
                <w:b/>
                <w:color w:val="FFFFFF"/>
                <w:sz w:val="16"/>
              </w:rPr>
              <w:t>Décision 2027</w:t>
            </w:r>
          </w:p>
        </w:tc>
        <w:tc>
          <w:tcPr>
            <w:tcW w:type="dxa" w:w="7913"/>
            <w:vAlign w:val="center"/>
            <w:shd w:fill="FF004A"/>
          </w:tcPr>
          <w:p>
            <w:r/>
            <w:r>
              <w:rPr>
                <w:b/>
                <w:color w:val="FFFFFF"/>
                <w:sz w:val="16"/>
              </w:rPr>
              <w:t>Seuil recommandé</w:t>
            </w:r>
          </w:p>
        </w:tc>
      </w:tr>
      <w:tr>
        <w:tc>
          <w:tcPr>
            <w:tcW w:type="dxa" w:w="7913"/>
            <w:vAlign w:val="center"/>
          </w:tcPr>
          <w:p>
            <w:r/>
            <w:r>
              <w:rPr>
                <w:b/>
                <w:color w:val="20242A"/>
                <w:sz w:val="16"/>
              </w:rPr>
              <w:t>Reconduction ferme</w:t>
            </w:r>
          </w:p>
        </w:tc>
        <w:tc>
          <w:tcPr>
            <w:tcW w:type="dxa" w:w="7913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Score &gt; 80 % et compétitivité forte</w:t>
            </w:r>
          </w:p>
        </w:tc>
      </w:tr>
      <w:tr>
        <w:tc>
          <w:tcPr>
            <w:tcW w:type="dxa" w:w="7913"/>
            <w:vAlign w:val="center"/>
          </w:tcPr>
          <w:p>
            <w:r/>
            <w:r>
              <w:rPr>
                <w:b/>
                <w:color w:val="20242A"/>
                <w:sz w:val="16"/>
              </w:rPr>
              <w:t>Renégociation sous condition</w:t>
            </w:r>
          </w:p>
        </w:tc>
        <w:tc>
          <w:tcPr>
            <w:tcW w:type="dxa" w:w="7913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Score entre 60 % et 80 % ou SLA insuffisants</w:t>
            </w:r>
          </w:p>
        </w:tc>
      </w:tr>
      <w:tr>
        <w:tc>
          <w:tcPr>
            <w:tcW w:type="dxa" w:w="7913"/>
            <w:vAlign w:val="center"/>
          </w:tcPr>
          <w:p>
            <w:r/>
            <w:r>
              <w:rPr>
                <w:b/>
                <w:color w:val="20242A"/>
                <w:sz w:val="16"/>
              </w:rPr>
              <w:t>Mise en concurrence / appel d’offres</w:t>
            </w:r>
          </w:p>
        </w:tc>
        <w:tc>
          <w:tcPr>
            <w:tcW w:type="dxa" w:w="7913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Score &lt; 60 % ou prix hors marché</w:t>
            </w:r>
          </w:p>
        </w:tc>
      </w:tr>
      <w:tr>
        <w:tc>
          <w:tcPr>
            <w:tcW w:type="dxa" w:w="7913"/>
            <w:vAlign w:val="center"/>
          </w:tcPr>
          <w:p>
            <w:r/>
            <w:r>
              <w:rPr>
                <w:b/>
                <w:color w:val="20242A"/>
                <w:sz w:val="16"/>
              </w:rPr>
              <w:t>Résiliation immédiate</w:t>
            </w:r>
          </w:p>
        </w:tc>
        <w:tc>
          <w:tcPr>
            <w:tcW w:type="dxa" w:w="7913"/>
            <w:vAlign w:val="center"/>
          </w:tcPr>
          <w:p>
            <w:r/>
            <w:r>
              <w:rPr>
                <w:b w:val="0"/>
                <w:color w:val="20242A"/>
                <w:sz w:val="16"/>
              </w:rPr>
              <w:t>Manquement grave ou risque opérationnel élevé</w:t>
            </w:r>
          </w:p>
        </w:tc>
      </w:tr>
    </w:tbl>
    <w:p>
      <w:r>
        <w:rPr>
          <w:i/>
          <w:sz w:val="16"/>
        </w:rPr>
        <w:t>Score de performance global = total des notes / 40 x 100. À croiser avec le volume financier annuel et le risque opérationnel du fournisseur.</w:t>
      </w:r>
    </w:p>
    <w:sectPr w:rsidR="00FC693F" w:rsidRPr="0006063C" w:rsidSect="00034616">
      <w:pgSz w:w="16834" w:h="11909" w:orient="landscape"/>
      <w:pgMar w:top="648" w:right="504" w:bottom="648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