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Fiche outil 1 - Expression des besoins et grille RFP SIRH</w:t>
      </w:r>
    </w:p>
    <w:p>
      <w:r>
        <w:rPr>
          <w:b/>
        </w:rPr>
        <w:t>Objectif : comparer objectivement les offres des éditeurs et intégrateurs SIRH à partir de critères pondérés, en reliant la couverture fonctionnelle, la sécurité, l’expérience utilisateur, le réalisme projet et le TCO sur trois ans.</w:t>
      </w:r>
    </w:p>
    <w:p>
      <w:pPr>
        <w:pStyle w:val="Heading1"/>
      </w:pPr>
      <w:r>
        <w:t>1. Périmètre fonctionnel à renseigner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1872"/>
            <w:shd w:fill="FF004A"/>
          </w:tcPr>
          <w:p>
            <w:r>
              <w:rPr>
                <w:b/>
                <w:sz w:val="15"/>
              </w:rPr>
              <w:t>Persona</w:t>
            </w:r>
          </w:p>
        </w:tc>
        <w:tc>
          <w:tcPr>
            <w:tcW w:type="dxa" w:w="3888"/>
            <w:shd w:fill="FF004A"/>
          </w:tcPr>
          <w:p>
            <w:r>
              <w:rPr>
                <w:b/>
                <w:sz w:val="15"/>
              </w:rPr>
              <w:t>Cas d’usage prioritaire</w:t>
            </w:r>
          </w:p>
        </w:tc>
        <w:tc>
          <w:tcPr>
            <w:tcW w:type="dxa" w:w="3888"/>
            <w:shd w:fill="FF004A"/>
          </w:tcPr>
          <w:p>
            <w:r>
              <w:rPr>
                <w:b/>
                <w:sz w:val="15"/>
              </w:rPr>
              <w:t>Exigence minimale</w:t>
            </w:r>
          </w:p>
        </w:tc>
      </w:tr>
      <w:tr>
        <w:tc>
          <w:tcPr>
            <w:tcW w:type="dxa" w:w="1872"/>
            <w:vAlign w:val="top"/>
          </w:tcPr>
          <w:p>
            <w:r>
              <w:rPr>
                <w:sz w:val="14"/>
              </w:rPr>
              <w:t>Collaborateur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Congés, bulletins, données personnelles, demandes de formation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Portail self-service simple, mobile, traçable</w:t>
            </w:r>
          </w:p>
        </w:tc>
      </w:tr>
      <w:tr>
        <w:tc>
          <w:tcPr>
            <w:tcW w:type="dxa" w:w="1872"/>
            <w:vAlign w:val="top"/>
          </w:tcPr>
          <w:p>
            <w:r>
              <w:rPr>
                <w:sz w:val="14"/>
              </w:rPr>
              <w:t>Manager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Validation absences, entretiens, planning, indicateurs équipe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Workflows courts, alertes, tableaux de bord</w:t>
            </w:r>
          </w:p>
        </w:tc>
      </w:tr>
      <w:tr>
        <w:tc>
          <w:tcPr>
            <w:tcW w:type="dxa" w:w="1872"/>
            <w:vAlign w:val="top"/>
          </w:tcPr>
          <w:p>
            <w:r>
              <w:rPr>
                <w:sz w:val="14"/>
              </w:rPr>
              <w:t>Gestionnaire RH / paie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Contrôles, variables, campagnes, reporting social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Automatisation, historisation, exports fiables</w:t>
            </w:r>
          </w:p>
        </w:tc>
      </w:tr>
      <w:tr>
        <w:tc>
          <w:tcPr>
            <w:tcW w:type="dxa" w:w="1872"/>
            <w:vAlign w:val="top"/>
          </w:tcPr>
          <w:p>
            <w:r>
              <w:rPr>
                <w:sz w:val="14"/>
              </w:rPr>
              <w:t>DRH / CODIR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Effectifs, masse salariale, SWP, risques RH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4"/>
              </w:rPr>
              <w:t>Dashboard consolidé et données exploitables</w:t>
            </w:r>
          </w:p>
        </w:tc>
      </w:tr>
    </w:tbl>
    <w:p>
      <w:pPr>
        <w:pStyle w:val="Heading1"/>
      </w:pPr>
      <w:r>
        <w:t>2. Grille de dépouillement RFP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3168"/>
            <w:shd w:fill="FF004A"/>
          </w:tcPr>
          <w:p>
            <w:r>
              <w:rPr>
                <w:b/>
                <w:sz w:val="15"/>
              </w:rPr>
              <w:t>Critère</w:t>
            </w:r>
          </w:p>
        </w:tc>
        <w:tc>
          <w:tcPr>
            <w:tcW w:type="dxa" w:w="1296"/>
            <w:shd w:fill="FF004A"/>
          </w:tcPr>
          <w:p>
            <w:r>
              <w:rPr>
                <w:b/>
                <w:sz w:val="15"/>
              </w:rPr>
              <w:t>Pondération</w:t>
            </w:r>
          </w:p>
        </w:tc>
        <w:tc>
          <w:tcPr>
            <w:tcW w:type="dxa" w:w="1152"/>
            <w:shd w:fill="FF004A"/>
          </w:tcPr>
          <w:p>
            <w:r>
              <w:rPr>
                <w:b/>
                <w:sz w:val="15"/>
              </w:rPr>
              <w:t>Éditeur A</w:t>
            </w:r>
          </w:p>
        </w:tc>
        <w:tc>
          <w:tcPr>
            <w:tcW w:type="dxa" w:w="1152"/>
            <w:shd w:fill="FF004A"/>
          </w:tcPr>
          <w:p>
            <w:r>
              <w:rPr>
                <w:b/>
                <w:sz w:val="15"/>
              </w:rPr>
              <w:t>Éditeur B</w:t>
            </w:r>
          </w:p>
        </w:tc>
        <w:tc>
          <w:tcPr>
            <w:tcW w:type="dxa" w:w="2880"/>
            <w:shd w:fill="FF004A"/>
          </w:tcPr>
          <w:p>
            <w:r>
              <w:rPr>
                <w:b/>
                <w:sz w:val="15"/>
              </w:rPr>
              <w:t>Commentaire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4"/>
              </w:rPr>
              <w:t>Core HR, congés, absences, talents</w:t>
            </w:r>
          </w:p>
        </w:tc>
        <w:tc>
          <w:tcPr>
            <w:tcW w:type="dxa" w:w="1296"/>
            <w:vAlign w:val="top"/>
          </w:tcPr>
          <w:p>
            <w:r>
              <w:rPr>
                <w:sz w:val="14"/>
              </w:rPr>
              <w:t>30 %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2880"/>
            <w:vAlign w:val="top"/>
          </w:tcPr>
          <w:p>
            <w:r>
              <w:rPr>
                <w:sz w:val="14"/>
              </w:rPr>
              <w:t>Couverture métier réelle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4"/>
              </w:rPr>
              <w:t>Sécurité, hébergement, conformité CNDP/RGPD, API</w:t>
            </w:r>
          </w:p>
        </w:tc>
        <w:tc>
          <w:tcPr>
            <w:tcW w:type="dxa" w:w="1296"/>
            <w:vAlign w:val="top"/>
          </w:tcPr>
          <w:p>
            <w:r>
              <w:rPr>
                <w:sz w:val="14"/>
              </w:rPr>
              <w:t>20 %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2880"/>
            <w:vAlign w:val="top"/>
          </w:tcPr>
          <w:p>
            <w:r>
              <w:rPr>
                <w:sz w:val="14"/>
              </w:rPr>
              <w:t>Robustesse technique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4"/>
              </w:rPr>
              <w:t>UX collaborateur et manager</w:t>
            </w:r>
          </w:p>
        </w:tc>
        <w:tc>
          <w:tcPr>
            <w:tcW w:type="dxa" w:w="1296"/>
            <w:vAlign w:val="top"/>
          </w:tcPr>
          <w:p>
            <w:r>
              <w:rPr>
                <w:sz w:val="14"/>
              </w:rPr>
              <w:t>20 %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2880"/>
            <w:vAlign w:val="top"/>
          </w:tcPr>
          <w:p>
            <w:r>
              <w:rPr>
                <w:sz w:val="14"/>
              </w:rPr>
              <w:t>Simplicité et adoption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4"/>
              </w:rPr>
              <w:t>Références intégrateur et planning</w:t>
            </w:r>
          </w:p>
        </w:tc>
        <w:tc>
          <w:tcPr>
            <w:tcW w:type="dxa" w:w="1296"/>
            <w:vAlign w:val="top"/>
          </w:tcPr>
          <w:p>
            <w:r>
              <w:rPr>
                <w:sz w:val="14"/>
              </w:rPr>
              <w:t>15 %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2880"/>
            <w:vAlign w:val="top"/>
          </w:tcPr>
          <w:p>
            <w:r>
              <w:rPr>
                <w:sz w:val="14"/>
              </w:rPr>
              <w:t>Capacité de livraison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4"/>
              </w:rPr>
              <w:t>TCO global sur 3 ans</w:t>
            </w:r>
          </w:p>
        </w:tc>
        <w:tc>
          <w:tcPr>
            <w:tcW w:type="dxa" w:w="1296"/>
            <w:vAlign w:val="top"/>
          </w:tcPr>
          <w:p>
            <w:r>
              <w:rPr>
                <w:sz w:val="14"/>
              </w:rPr>
              <w:t>15 %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2880"/>
            <w:vAlign w:val="top"/>
          </w:tcPr>
          <w:p>
            <w:r>
              <w:rPr>
                <w:sz w:val="14"/>
              </w:rPr>
              <w:t>Coût complet comparé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4"/>
              </w:rPr>
              <w:t>Score total pondéré</w:t>
            </w:r>
          </w:p>
        </w:tc>
        <w:tc>
          <w:tcPr>
            <w:tcW w:type="dxa" w:w="1296"/>
            <w:vAlign w:val="top"/>
          </w:tcPr>
          <w:p>
            <w:r>
              <w:rPr>
                <w:sz w:val="14"/>
              </w:rPr>
              <w:t>100 %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1152"/>
            <w:vAlign w:val="top"/>
          </w:tcPr>
          <w:p>
            <w:r>
              <w:rPr>
                <w:sz w:val="14"/>
              </w:rPr>
              <w:t>__/10</w:t>
            </w:r>
          </w:p>
        </w:tc>
        <w:tc>
          <w:tcPr>
            <w:tcW w:type="dxa" w:w="2880"/>
            <w:vAlign w:val="top"/>
          </w:tcPr>
          <w:p>
            <w:r>
              <w:rPr>
                <w:sz w:val="14"/>
              </w:rPr>
              <w:t>Décision proposée</w:t>
            </w:r>
          </w:p>
        </w:tc>
      </w:tr>
    </w:tbl>
    <w:p>
      <w:pPr>
        <w:pStyle w:val="Heading1"/>
      </w:pPr>
      <w:r>
        <w:t>3. Questions de contrôle avant décision</w:t>
      </w:r>
    </w:p>
    <w:p>
      <w:pPr>
        <w:pStyle w:val="ListBullet"/>
      </w:pPr>
      <w:r>
        <w:t>Les processus As-Is et To-Be sont-ils documentés ?</w:t>
      </w:r>
    </w:p>
    <w:p>
      <w:pPr>
        <w:pStyle w:val="ListBullet"/>
      </w:pPr>
      <w:r>
        <w:t>Les contraintes locales de paie, temps de travail, CNSS/CIMR et protection des données sont-elles couvertes ?</w:t>
      </w:r>
    </w:p>
    <w:p>
      <w:pPr>
        <w:pStyle w:val="ListBullet"/>
      </w:pPr>
      <w:r>
        <w:t>Le coût d’intégration et de reprise des données est-il chiffré ?</w:t>
      </w:r>
    </w:p>
    <w:p>
      <w:pPr>
        <w:pStyle w:val="ListBullet"/>
      </w:pPr>
      <w:r>
        <w:t>Les SLAs et clauses de réversibilité sont-ils intégrés au contrat ?</w:t>
      </w:r>
    </w:p>
    <w:p>
      <w:pPr>
        <w:pStyle w:val="ListBullet"/>
      </w:pPr>
      <w:r>
        <w:t>La recette utilisateurs conditionne-t-elle la mise en production ?</w:t>
      </w:r>
    </w:p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