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F2933"/>
          <w:sz w:val="36"/>
        </w:rPr>
        <w:t>Fiche outil 1 - Matrice d'alignement stratégique RH 2027</w:t>
      </w:r>
    </w:p>
    <w:p>
      <w:r>
        <w:rPr>
          <w:rFonts w:ascii="Arial" w:hAnsi="Arial"/>
          <w:sz w:val="21"/>
        </w:rPr>
        <w:t>Objectif : formaliser la chaîne de valeur entre une priorité business, une capacité RH, un projet opérationnel, un budget et un indicateur de retour sur investissement.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7"/>
        <w:gridCol w:w="2037"/>
        <w:gridCol w:w="2037"/>
        <w:gridCol w:w="2037"/>
        <w:gridCol w:w="2037"/>
        <w:gridCol w:w="2037"/>
        <w:gridCol w:w="2037"/>
      </w:tblGrid>
      <w:tr>
        <w:tc>
          <w:tcPr>
            <w:tcW w:type="dxa" w:w="2016"/>
            <w:vAlign w:val="center"/>
            <w:shd w:fill="E9EEF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Axe stratégique business</w:t>
            </w:r>
          </w:p>
        </w:tc>
        <w:tc>
          <w:tcPr>
            <w:tcW w:type="dxa" w:w="2232"/>
            <w:vAlign w:val="center"/>
            <w:shd w:fill="E9EEF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Enjeu RH identifié</w:t>
            </w:r>
          </w:p>
        </w:tc>
        <w:tc>
          <w:tcPr>
            <w:tcW w:type="dxa" w:w="2592"/>
            <w:vAlign w:val="center"/>
            <w:shd w:fill="E9EEF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Action / projet RH</w:t>
            </w:r>
          </w:p>
        </w:tc>
        <w:tc>
          <w:tcPr>
            <w:tcW w:type="dxa" w:w="1296"/>
            <w:vAlign w:val="center"/>
            <w:shd w:fill="E9EEF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Échéance</w:t>
            </w:r>
          </w:p>
        </w:tc>
        <w:tc>
          <w:tcPr>
            <w:tcW w:type="dxa" w:w="1512"/>
            <w:vAlign w:val="center"/>
            <w:shd w:fill="E9EEF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Coût estimé</w:t>
            </w:r>
          </w:p>
        </w:tc>
        <w:tc>
          <w:tcPr>
            <w:tcW w:type="dxa" w:w="2088"/>
            <w:vAlign w:val="center"/>
            <w:shd w:fill="E9EEF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KPI de suivi</w:t>
            </w:r>
          </w:p>
        </w:tc>
        <w:tc>
          <w:tcPr>
            <w:tcW w:type="dxa" w:w="2376"/>
            <w:vAlign w:val="center"/>
            <w:shd w:fill="E9EEF3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8"/>
              </w:rPr>
              <w:t>Gain financier / ROI</w:t>
            </w:r>
          </w:p>
        </w:tc>
      </w:tr>
      <w:tr>
        <w:tc>
          <w:tcPr>
            <w:tcW w:type="dxa" w:w="201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Expansion commerciale (+20% CA)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Pénurie de profils Key Account Managers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Sourcing direct et refonte de l'EVP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Q1-Q2 2027</w:t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150 000 MAD</w:t>
            </w:r>
          </w:p>
        </w:tc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Time-to-fill : 60 à 35 jours</w:t>
            </w:r>
          </w:p>
        </w:tc>
        <w:tc>
          <w:tcPr>
            <w:tcW w:type="dxa" w:w="237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Préservation de 1,2 M MAD de marge</w:t>
            </w:r>
          </w:p>
        </w:tc>
      </w:tr>
      <w:tr>
        <w:tc>
          <w:tcPr>
            <w:tcW w:type="dxa" w:w="201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Digitalisation des opérations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Obsolescence des compétences logistiques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Re-skilling sur outils WMS automatisés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Q2-Q3 2027</w:t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300 000 MAD</w:t>
            </w:r>
          </w:p>
        </w:tc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100% des agents certifiés</w:t>
            </w:r>
          </w:p>
        </w:tc>
        <w:tc>
          <w:tcPr>
            <w:tcW w:type="dxa" w:w="237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Économie de 800 000 MAD en intérim</w:t>
            </w:r>
          </w:p>
        </w:tc>
      </w:tr>
      <w:tr>
        <w:tc>
          <w:tcPr>
            <w:tcW w:type="dxa" w:w="201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Optimisation des coûts fixes (-5% Opex)</w:t>
            </w:r>
          </w:p>
        </w:tc>
        <w:tc>
          <w:tcPr>
            <w:tcW w:type="dxa" w:w="223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Lignes managériales trop denses</w:t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Restructuration Spans &amp; Layers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Q1 2027</w:t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200 000 MAD</w:t>
            </w:r>
          </w:p>
        </w:tc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7 à 5 strates hiérarchiques</w:t>
            </w:r>
          </w:p>
        </w:tc>
        <w:tc>
          <w:tcPr>
            <w:tcW w:type="dxa" w:w="237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  <w:t>Réduction récurrente de 1,5 M MAD</w:t>
            </w:r>
          </w:p>
        </w:tc>
      </w:tr>
      <w:tr>
        <w:tc>
          <w:tcPr>
            <w:tcW w:type="dxa" w:w="201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01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  <w:tr>
        <w:tc>
          <w:tcPr>
            <w:tcW w:type="dxa" w:w="201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23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5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151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08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  <w:tc>
          <w:tcPr>
            <w:tcW w:type="dxa" w:w="237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7"/>
              </w:rPr>
            </w:r>
          </w:p>
        </w:tc>
      </w:tr>
    </w:tbl>
    <w:p>
      <w:r>
        <w:rPr>
          <w:rFonts w:ascii="Arial" w:hAnsi="Arial"/>
          <w:sz w:val="20"/>
        </w:rPr>
        <w:t>Mode d'emploi : ne retenir dans le plan final que les projets dont l'effet opérationnel peut être suivi au trimestre et discuté avec le Directeur Général ou le Directeur Financier.</w:t>
      </w:r>
    </w:p>
    <w:sectPr w:rsidR="00FC693F" w:rsidRPr="0006063C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