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F004A"/>
          <w:sz w:val="36"/>
        </w:rPr>
        <w:t>Fiche Outil 1 - Matrice RACI type de la fonction RH 2027</w:t>
      </w:r>
    </w:p>
    <w:p>
      <w:r>
        <w:rPr>
          <w:sz w:val="18"/>
        </w:rPr>
        <w:t>Objectif : clarifier les responsabilités entre managers, HRBP, Centre de Services Partagés, Centres d’Expertise et CODIR afin de sécuriser l’exécution des processus RH.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8"/>
        <w:gridCol w:w="2638"/>
        <w:gridCol w:w="2638"/>
        <w:gridCol w:w="2638"/>
        <w:gridCol w:w="2638"/>
        <w:gridCol w:w="2638"/>
      </w:tblGrid>
      <w:tr>
        <w:tc>
          <w:tcPr>
            <w:tcW w:type="dxa" w:w="2638"/>
            <w:shd w:fill="FF004A"/>
            <w:vAlign w:val="center"/>
          </w:tcPr>
          <w:p>
            <w:r/>
            <w:r>
              <w:rPr>
                <w:b/>
                <w:color w:val="FFFFFF"/>
                <w:sz w:val="14"/>
              </w:rPr>
              <w:t>Processus RH &amp; décisions clés</w:t>
            </w:r>
          </w:p>
        </w:tc>
        <w:tc>
          <w:tcPr>
            <w:tcW w:type="dxa" w:w="2638"/>
            <w:shd w:fill="FF004A"/>
            <w:vAlign w:val="center"/>
          </w:tcPr>
          <w:p>
            <w:r/>
            <w:r>
              <w:rPr>
                <w:b/>
                <w:color w:val="FFFFFF"/>
                <w:sz w:val="14"/>
              </w:rPr>
              <w:t>Manager opérationnel</w:t>
            </w:r>
          </w:p>
        </w:tc>
        <w:tc>
          <w:tcPr>
            <w:tcW w:type="dxa" w:w="2638"/>
            <w:shd w:fill="FF004A"/>
            <w:vAlign w:val="center"/>
          </w:tcPr>
          <w:p>
            <w:r/>
            <w:r>
              <w:rPr>
                <w:b/>
                <w:color w:val="FFFFFF"/>
                <w:sz w:val="14"/>
              </w:rPr>
              <w:t>HRBP</w:t>
            </w:r>
          </w:p>
        </w:tc>
        <w:tc>
          <w:tcPr>
            <w:tcW w:type="dxa" w:w="2638"/>
            <w:shd w:fill="FF004A"/>
            <w:vAlign w:val="center"/>
          </w:tcPr>
          <w:p>
            <w:r/>
            <w:r>
              <w:rPr>
                <w:b/>
                <w:color w:val="FFFFFF"/>
                <w:sz w:val="14"/>
              </w:rPr>
              <w:t>CSP RH</w:t>
            </w:r>
          </w:p>
        </w:tc>
        <w:tc>
          <w:tcPr>
            <w:tcW w:type="dxa" w:w="2638"/>
            <w:shd w:fill="FF004A"/>
            <w:vAlign w:val="center"/>
          </w:tcPr>
          <w:p>
            <w:r/>
            <w:r>
              <w:rPr>
                <w:b/>
                <w:color w:val="FFFFFF"/>
                <w:sz w:val="14"/>
              </w:rPr>
              <w:t>Centre d’expertise</w:t>
            </w:r>
          </w:p>
        </w:tc>
        <w:tc>
          <w:tcPr>
            <w:tcW w:type="dxa" w:w="2638"/>
            <w:shd w:fill="FF004A"/>
            <w:vAlign w:val="center"/>
          </w:tcPr>
          <w:p>
            <w:r/>
            <w:r>
              <w:rPr>
                <w:b/>
                <w:color w:val="FFFFFF"/>
                <w:sz w:val="14"/>
              </w:rPr>
              <w:t>DG / CODIR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Élaboration du Plan RH &amp; budget masse salariale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Modélisation de la cartographie des compétences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Définition du besoin et validation de la fiche de poste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Sourcing, présélection et entretiens de cadrage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Décision finale d’embauche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Contrat de travail et onboarding administratif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 / 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Politique salariale globale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Propositions d’augmentations individuelles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Traitement et clôture de la paie mensuelle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 / 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Identification des besoins individuels de formation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 / 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Arbitrage et plan de développement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Déploiement logistique des sessions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 / 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Détection d’un conflit terrain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 / 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Procédure disciplinaire ou licenciement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</w:tr>
      <w:tr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Animation des instances représentatives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R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I</w:t>
            </w:r>
          </w:p>
        </w:tc>
        <w:tc>
          <w:tcPr>
            <w:tcW w:type="dxa" w:w="2638"/>
            <w:vAlign w:val="center"/>
          </w:tcPr>
          <w:p>
            <w:r/>
            <w:r>
              <w:rPr>
                <w:b w:val="0"/>
                <w:color w:val="20242A"/>
                <w:sz w:val="14"/>
              </w:rPr>
              <w:t>C</w:t>
            </w:r>
          </w:p>
        </w:tc>
        <w:tc>
          <w:tcPr>
            <w:tcW w:type="dxa" w:w="2638"/>
            <w:vAlign w:val="center"/>
            <w:shd w:fill="F6DCE5"/>
          </w:tcPr>
          <w:p>
            <w:r/>
            <w:r>
              <w:rPr>
                <w:b/>
                <w:color w:val="20242A"/>
                <w:sz w:val="14"/>
              </w:rPr>
              <w:t>A</w:t>
            </w:r>
          </w:p>
        </w:tc>
      </w:tr>
    </w:tbl>
    <w:p>
      <w:pPr/>
      <w:r>
        <w:rPr>
          <w:i/>
          <w:sz w:val="16"/>
        </w:rPr>
        <w:t>Légende : R = Responsible / Réalisateur ; A = Accountable / Décideur ultime ; C = Consulted / Consulté ; I = Informed / Informé. Un seul A doit être retenu par processus.</w:t>
      </w:r>
    </w:p>
    <w:sectPr w:rsidR="00FC693F" w:rsidRPr="0006063C" w:rsidSect="00034616">
      <w:pgSz w:w="16834" w:h="11909" w:orient="landscape"/>
      <w:pgMar w:top="648" w:right="504" w:bottom="648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