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24242A"/>
          <w:sz w:val="36"/>
        </w:rPr>
        <w:t>Fiche outil - Matrice SWP et arbitrage Build / Buy</w:t>
      </w:r>
    </w:p>
    <w:p>
      <w:r>
        <w:rPr>
          <w:color w:val="555555"/>
          <w:sz w:val="20"/>
        </w:rPr>
        <w:t>À utiliser pour formaliser les écarts d’effectifs, les compétences critiques et les scénarios d’ajustement à horizon 2027.</w:t>
      </w:r>
    </w:p>
    <w:p/>
    <w:tbl>
      <w:tblPr>
        <w:tblStyle w:val="TableGrid"/>
        <w:tblW w:type="auto" w:w="0"/>
        <w:jc w:val="center"/>
        <w:tblLook w:firstColumn="1" w:firstRow="1" w:lastColumn="0" w:lastRow="0" w:noHBand="0" w:noVBand="1" w:val="04A0"/>
      </w:tblPr>
      <w:tblGrid>
        <w:gridCol w:w="1726"/>
        <w:gridCol w:w="1726"/>
        <w:gridCol w:w="1726"/>
        <w:gridCol w:w="1726"/>
        <w:gridCol w:w="1726"/>
        <w:gridCol w:w="1726"/>
        <w:gridCol w:w="1726"/>
        <w:gridCol w:w="1726"/>
        <w:gridCol w:w="1726"/>
      </w:tblGrid>
      <w:tr>
        <w:tc>
          <w:tcPr>
            <w:tcW w:type="dxa" w:w="1726"/>
            <w:shd w:fill="FF004A"/>
            <w:vAlign w:val="center"/>
          </w:tcPr>
          <w:p>
            <w:r/>
            <w:r>
              <w:rPr>
                <w:b/>
                <w:color w:val="FFFFFF"/>
                <w:sz w:val="14"/>
              </w:rPr>
              <w:t>Famille de métiers</w:t>
            </w:r>
          </w:p>
        </w:tc>
        <w:tc>
          <w:tcPr>
            <w:tcW w:type="dxa" w:w="1726"/>
            <w:shd w:fill="FF004A"/>
            <w:vAlign w:val="center"/>
          </w:tcPr>
          <w:p>
            <w:r/>
            <w:r>
              <w:rPr>
                <w:b/>
                <w:color w:val="FFFFFF"/>
                <w:sz w:val="14"/>
              </w:rPr>
              <w:t>Effectif actuel</w:t>
            </w:r>
          </w:p>
        </w:tc>
        <w:tc>
          <w:tcPr>
            <w:tcW w:type="dxa" w:w="1726"/>
            <w:shd w:fill="FF004A"/>
            <w:vAlign w:val="center"/>
          </w:tcPr>
          <w:p>
            <w:r/>
            <w:r>
              <w:rPr>
                <w:b/>
                <w:color w:val="FFFFFF"/>
                <w:sz w:val="14"/>
              </w:rPr>
              <w:t>Effectif résiduel 2027</w:t>
            </w:r>
          </w:p>
        </w:tc>
        <w:tc>
          <w:tcPr>
            <w:tcW w:type="dxa" w:w="1726"/>
            <w:shd w:fill="FF004A"/>
            <w:vAlign w:val="center"/>
          </w:tcPr>
          <w:p>
            <w:r/>
            <w:r>
              <w:rPr>
                <w:b/>
                <w:color w:val="FFFFFF"/>
                <w:sz w:val="14"/>
              </w:rPr>
              <w:t>Besoin cible 2027</w:t>
            </w:r>
          </w:p>
        </w:tc>
        <w:tc>
          <w:tcPr>
            <w:tcW w:type="dxa" w:w="1726"/>
            <w:shd w:fill="FF004A"/>
            <w:vAlign w:val="center"/>
          </w:tcPr>
          <w:p>
            <w:r/>
            <w:r>
              <w:rPr>
                <w:b/>
                <w:color w:val="FFFFFF"/>
                <w:sz w:val="14"/>
              </w:rPr>
              <w:t>Écart</w:t>
            </w:r>
          </w:p>
        </w:tc>
        <w:tc>
          <w:tcPr>
            <w:tcW w:type="dxa" w:w="1726"/>
            <w:shd w:fill="FF004A"/>
            <w:vAlign w:val="center"/>
          </w:tcPr>
          <w:p>
            <w:r/>
            <w:r>
              <w:rPr>
                <w:b/>
                <w:color w:val="FFFFFF"/>
                <w:sz w:val="14"/>
              </w:rPr>
              <w:t>Qualification du gap</w:t>
            </w:r>
          </w:p>
        </w:tc>
        <w:tc>
          <w:tcPr>
            <w:tcW w:type="dxa" w:w="1726"/>
            <w:shd w:fill="FF004A"/>
            <w:vAlign w:val="center"/>
          </w:tcPr>
          <w:p>
            <w:r/>
            <w:r>
              <w:rPr>
                <w:b/>
                <w:color w:val="FFFFFF"/>
                <w:sz w:val="14"/>
              </w:rPr>
              <w:t>Arbitrage retenu</w:t>
            </w:r>
          </w:p>
        </w:tc>
        <w:tc>
          <w:tcPr>
            <w:tcW w:type="dxa" w:w="1726"/>
            <w:shd w:fill="FF004A"/>
            <w:vAlign w:val="center"/>
          </w:tcPr>
          <w:p>
            <w:r/>
            <w:r>
              <w:rPr>
                <w:b/>
                <w:color w:val="FFFFFF"/>
                <w:sz w:val="14"/>
              </w:rPr>
              <w:t>Coût unitaire estimé</w:t>
            </w:r>
          </w:p>
        </w:tc>
        <w:tc>
          <w:tcPr>
            <w:tcW w:type="dxa" w:w="1726"/>
            <w:shd w:fill="FF004A"/>
            <w:vAlign w:val="center"/>
          </w:tcPr>
          <w:p>
            <w:r/>
            <w:r>
              <w:rPr>
                <w:b/>
                <w:color w:val="FFFFFF"/>
                <w:sz w:val="14"/>
              </w:rPr>
              <w:t>Budget global</w:t>
            </w:r>
          </w:p>
        </w:tc>
      </w:tr>
      <w:tr>
        <w:tc>
          <w:tcPr>
            <w:tcW w:type="dxa" w:w="1726"/>
            <w:vAlign w:val="center"/>
          </w:tcPr>
          <w:p>
            <w:r/>
            <w:r>
              <w:rPr>
                <w:b w:val="0"/>
                <w:sz w:val="14"/>
              </w:rPr>
              <w:t>Ingénieurs IA &amp; Data</w:t>
            </w:r>
          </w:p>
        </w:tc>
        <w:tc>
          <w:tcPr>
            <w:tcW w:type="dxa" w:w="1726"/>
            <w:vAlign w:val="center"/>
          </w:tcPr>
          <w:p>
            <w:r/>
            <w:r>
              <w:rPr>
                <w:b w:val="0"/>
                <w:sz w:val="14"/>
              </w:rPr>
              <w:t>5 ETP</w:t>
            </w:r>
          </w:p>
        </w:tc>
        <w:tc>
          <w:tcPr>
            <w:tcW w:type="dxa" w:w="1726"/>
            <w:vAlign w:val="center"/>
          </w:tcPr>
          <w:p>
            <w:r/>
            <w:r>
              <w:rPr>
                <w:b w:val="0"/>
                <w:sz w:val="14"/>
              </w:rPr>
              <w:t>4 ETP</w:t>
            </w:r>
          </w:p>
        </w:tc>
        <w:tc>
          <w:tcPr>
            <w:tcW w:type="dxa" w:w="1726"/>
            <w:vAlign w:val="center"/>
          </w:tcPr>
          <w:p>
            <w:r/>
            <w:r>
              <w:rPr>
                <w:b w:val="0"/>
                <w:sz w:val="14"/>
              </w:rPr>
              <w:t>12 ETP</w:t>
            </w:r>
          </w:p>
        </w:tc>
        <w:tc>
          <w:tcPr>
            <w:tcW w:type="dxa" w:w="1726"/>
            <w:vAlign w:val="center"/>
          </w:tcPr>
          <w:p>
            <w:r/>
            <w:r>
              <w:rPr>
                <w:b w:val="0"/>
                <w:sz w:val="14"/>
              </w:rPr>
              <w:t>+8 ETP</w:t>
            </w:r>
          </w:p>
        </w:tc>
        <w:tc>
          <w:tcPr>
            <w:tcW w:type="dxa" w:w="1726"/>
            <w:vAlign w:val="center"/>
          </w:tcPr>
          <w:p>
            <w:r/>
            <w:r>
              <w:rPr>
                <w:b w:val="0"/>
                <w:sz w:val="14"/>
              </w:rPr>
              <w:t>Pénurie critique</w:t>
            </w:r>
          </w:p>
        </w:tc>
        <w:tc>
          <w:tcPr>
            <w:tcW w:type="dxa" w:w="1726"/>
            <w:vAlign w:val="center"/>
          </w:tcPr>
          <w:p>
            <w:r/>
            <w:r>
              <w:rPr>
                <w:b w:val="0"/>
                <w:sz w:val="14"/>
              </w:rPr>
              <w:t>Mix : 50 % Build / 50 % Buy</w:t>
            </w:r>
          </w:p>
        </w:tc>
        <w:tc>
          <w:tcPr>
            <w:tcW w:type="dxa" w:w="1726"/>
            <w:vAlign w:val="center"/>
          </w:tcPr>
          <w:p>
            <w:r/>
            <w:r>
              <w:rPr>
                <w:b w:val="0"/>
                <w:sz w:val="14"/>
              </w:rPr>
              <w:t>Buy : 120 k MAD / Build : 60 k MAD</w:t>
            </w:r>
          </w:p>
        </w:tc>
        <w:tc>
          <w:tcPr>
            <w:tcW w:type="dxa" w:w="1726"/>
            <w:vAlign w:val="center"/>
          </w:tcPr>
          <w:p>
            <w:r/>
            <w:r>
              <w:rPr>
                <w:b w:val="0"/>
                <w:sz w:val="14"/>
              </w:rPr>
              <w:t>720 000 MAD</w:t>
            </w:r>
          </w:p>
        </w:tc>
      </w:tr>
      <w:tr>
        <w:tc>
          <w:tcPr>
            <w:tcW w:type="dxa" w:w="1726"/>
            <w:vAlign w:val="center"/>
          </w:tcPr>
          <w:p>
            <w:r/>
            <w:r>
              <w:rPr>
                <w:b w:val="0"/>
                <w:sz w:val="14"/>
              </w:rPr>
              <w:t>Gestionnaires administratifs paie</w:t>
            </w:r>
          </w:p>
        </w:tc>
        <w:tc>
          <w:tcPr>
            <w:tcW w:type="dxa" w:w="1726"/>
            <w:vAlign w:val="center"/>
          </w:tcPr>
          <w:p>
            <w:r/>
            <w:r>
              <w:rPr>
                <w:b w:val="0"/>
                <w:sz w:val="14"/>
              </w:rPr>
              <w:t>14 ETP</w:t>
            </w:r>
          </w:p>
        </w:tc>
        <w:tc>
          <w:tcPr>
            <w:tcW w:type="dxa" w:w="1726"/>
            <w:vAlign w:val="center"/>
          </w:tcPr>
          <w:p>
            <w:r/>
            <w:r>
              <w:rPr>
                <w:b w:val="0"/>
                <w:sz w:val="14"/>
              </w:rPr>
              <w:t>12 ETP</w:t>
            </w:r>
          </w:p>
        </w:tc>
        <w:tc>
          <w:tcPr>
            <w:tcW w:type="dxa" w:w="1726"/>
            <w:vAlign w:val="center"/>
          </w:tcPr>
          <w:p>
            <w:r/>
            <w:r>
              <w:rPr>
                <w:b w:val="0"/>
                <w:sz w:val="14"/>
              </w:rPr>
              <w:t>8 ETP</w:t>
            </w:r>
          </w:p>
        </w:tc>
        <w:tc>
          <w:tcPr>
            <w:tcW w:type="dxa" w:w="1726"/>
            <w:vAlign w:val="center"/>
          </w:tcPr>
          <w:p>
            <w:r/>
            <w:r>
              <w:rPr>
                <w:b w:val="0"/>
                <w:sz w:val="14"/>
              </w:rPr>
              <w:t>-4 ETP</w:t>
            </w:r>
          </w:p>
        </w:tc>
        <w:tc>
          <w:tcPr>
            <w:tcW w:type="dxa" w:w="1726"/>
            <w:vAlign w:val="center"/>
          </w:tcPr>
          <w:p>
            <w:r/>
            <w:r>
              <w:rPr>
                <w:b w:val="0"/>
                <w:sz w:val="14"/>
              </w:rPr>
              <w:t>Surcapacité liée à l’automatisation</w:t>
            </w:r>
          </w:p>
        </w:tc>
        <w:tc>
          <w:tcPr>
            <w:tcW w:type="dxa" w:w="1726"/>
            <w:vAlign w:val="center"/>
          </w:tcPr>
          <w:p>
            <w:r/>
            <w:r>
              <w:rPr>
                <w:b w:val="0"/>
                <w:sz w:val="14"/>
              </w:rPr>
              <w:t>Build / Bounce : reconversion vers RHBP</w:t>
            </w:r>
          </w:p>
        </w:tc>
        <w:tc>
          <w:tcPr>
            <w:tcW w:type="dxa" w:w="1726"/>
            <w:vAlign w:val="center"/>
          </w:tcPr>
          <w:p>
            <w:r/>
            <w:r>
              <w:rPr>
                <w:b w:val="0"/>
                <w:sz w:val="14"/>
              </w:rPr>
              <w:t>45 k MAD</w:t>
            </w:r>
          </w:p>
        </w:tc>
        <w:tc>
          <w:tcPr>
            <w:tcW w:type="dxa" w:w="1726"/>
            <w:vAlign w:val="center"/>
          </w:tcPr>
          <w:p>
            <w:r/>
            <w:r>
              <w:rPr>
                <w:b w:val="0"/>
                <w:sz w:val="14"/>
              </w:rPr>
              <w:t>180 000 MAD</w:t>
            </w:r>
          </w:p>
        </w:tc>
      </w:tr>
      <w:tr>
        <w:tc>
          <w:tcPr>
            <w:tcW w:type="dxa" w:w="1726"/>
            <w:vAlign w:val="center"/>
          </w:tcPr>
          <w:p>
            <w:r/>
            <w:r>
              <w:rPr>
                <w:b w:val="0"/>
                <w:sz w:val="14"/>
              </w:rPr>
              <w:t>Chefs de projets digitaux</w:t>
            </w:r>
          </w:p>
        </w:tc>
        <w:tc>
          <w:tcPr>
            <w:tcW w:type="dxa" w:w="1726"/>
            <w:vAlign w:val="center"/>
          </w:tcPr>
          <w:p>
            <w:r/>
            <w:r>
              <w:rPr>
                <w:b w:val="0"/>
                <w:sz w:val="14"/>
              </w:rPr>
              <w:t>8 ETP</w:t>
            </w:r>
          </w:p>
        </w:tc>
        <w:tc>
          <w:tcPr>
            <w:tcW w:type="dxa" w:w="1726"/>
            <w:vAlign w:val="center"/>
          </w:tcPr>
          <w:p>
            <w:r/>
            <w:r>
              <w:rPr>
                <w:b w:val="0"/>
                <w:sz w:val="14"/>
              </w:rPr>
              <w:t>7 ETP</w:t>
            </w:r>
          </w:p>
        </w:tc>
        <w:tc>
          <w:tcPr>
            <w:tcW w:type="dxa" w:w="1726"/>
            <w:vAlign w:val="center"/>
          </w:tcPr>
          <w:p>
            <w:r/>
            <w:r>
              <w:rPr>
                <w:b w:val="0"/>
                <w:sz w:val="14"/>
              </w:rPr>
              <w:t>10 ETP</w:t>
            </w:r>
          </w:p>
        </w:tc>
        <w:tc>
          <w:tcPr>
            <w:tcW w:type="dxa" w:w="1726"/>
            <w:vAlign w:val="center"/>
          </w:tcPr>
          <w:p>
            <w:r/>
            <w:r>
              <w:rPr>
                <w:b w:val="0"/>
                <w:sz w:val="14"/>
              </w:rPr>
              <w:t>+3 ETP</w:t>
            </w:r>
          </w:p>
        </w:tc>
        <w:tc>
          <w:tcPr>
            <w:tcW w:type="dxa" w:w="1726"/>
            <w:vAlign w:val="center"/>
          </w:tcPr>
          <w:p>
            <w:r/>
            <w:r>
              <w:rPr>
                <w:b w:val="0"/>
                <w:sz w:val="14"/>
              </w:rPr>
              <w:t>Tension modérée</w:t>
            </w:r>
          </w:p>
        </w:tc>
        <w:tc>
          <w:tcPr>
            <w:tcW w:type="dxa" w:w="1726"/>
            <w:vAlign w:val="center"/>
          </w:tcPr>
          <w:p>
            <w:r/>
            <w:r>
              <w:rPr>
                <w:b w:val="0"/>
                <w:sz w:val="14"/>
              </w:rPr>
              <w:t>Build : promotion interne Tech Lead</w:t>
            </w:r>
          </w:p>
        </w:tc>
        <w:tc>
          <w:tcPr>
            <w:tcW w:type="dxa" w:w="1726"/>
            <w:vAlign w:val="center"/>
          </w:tcPr>
          <w:p>
            <w:r/>
            <w:r>
              <w:rPr>
                <w:b w:val="0"/>
                <w:sz w:val="14"/>
              </w:rPr>
              <w:t>35 k MAD</w:t>
            </w:r>
          </w:p>
        </w:tc>
        <w:tc>
          <w:tcPr>
            <w:tcW w:type="dxa" w:w="1726"/>
            <w:vAlign w:val="center"/>
          </w:tcPr>
          <w:p>
            <w:r/>
            <w:r>
              <w:rPr>
                <w:b w:val="0"/>
                <w:sz w:val="14"/>
              </w:rPr>
              <w:t>105 000 MAD</w:t>
            </w:r>
          </w:p>
        </w:tc>
      </w:tr>
      <w:tr>
        <w:tc>
          <w:tcPr>
            <w:tcW w:type="dxa" w:w="1726"/>
            <w:vAlign w:val="center"/>
          </w:tcPr>
          <w:p>
            <w:r/>
            <w:r>
              <w:rPr>
                <w:b w:val="0"/>
                <w:sz w:val="14"/>
              </w:rPr>
              <w:t>Experts cybersécurité</w:t>
            </w:r>
          </w:p>
        </w:tc>
        <w:tc>
          <w:tcPr>
            <w:tcW w:type="dxa" w:w="1726"/>
            <w:vAlign w:val="center"/>
          </w:tcPr>
          <w:p>
            <w:r/>
            <w:r>
              <w:rPr>
                <w:b w:val="0"/>
                <w:sz w:val="14"/>
              </w:rPr>
              <w:t>2 ETP</w:t>
            </w:r>
          </w:p>
        </w:tc>
        <w:tc>
          <w:tcPr>
            <w:tcW w:type="dxa" w:w="1726"/>
            <w:vAlign w:val="center"/>
          </w:tcPr>
          <w:p>
            <w:r/>
            <w:r>
              <w:rPr>
                <w:b w:val="0"/>
                <w:sz w:val="14"/>
              </w:rPr>
              <w:t>2 ETP</w:t>
            </w:r>
          </w:p>
        </w:tc>
        <w:tc>
          <w:tcPr>
            <w:tcW w:type="dxa" w:w="1726"/>
            <w:vAlign w:val="center"/>
          </w:tcPr>
          <w:p>
            <w:r/>
            <w:r>
              <w:rPr>
                <w:b w:val="0"/>
                <w:sz w:val="14"/>
              </w:rPr>
              <w:t>4 ETP</w:t>
            </w:r>
          </w:p>
        </w:tc>
        <w:tc>
          <w:tcPr>
            <w:tcW w:type="dxa" w:w="1726"/>
            <w:vAlign w:val="center"/>
          </w:tcPr>
          <w:p>
            <w:r/>
            <w:r>
              <w:rPr>
                <w:b w:val="0"/>
                <w:sz w:val="14"/>
              </w:rPr>
              <w:t>+2 ETP</w:t>
            </w:r>
          </w:p>
        </w:tc>
        <w:tc>
          <w:tcPr>
            <w:tcW w:type="dxa" w:w="1726"/>
            <w:vAlign w:val="center"/>
          </w:tcPr>
          <w:p>
            <w:r/>
            <w:r>
              <w:rPr>
                <w:b w:val="0"/>
                <w:sz w:val="14"/>
              </w:rPr>
              <w:t>Pénurie extrême</w:t>
            </w:r>
          </w:p>
        </w:tc>
        <w:tc>
          <w:tcPr>
            <w:tcW w:type="dxa" w:w="1726"/>
            <w:vAlign w:val="center"/>
          </w:tcPr>
          <w:p>
            <w:r/>
            <w:r>
              <w:rPr>
                <w:b w:val="0"/>
                <w:sz w:val="14"/>
              </w:rPr>
              <w:t>Borrow : freelance / portage 18 mois</w:t>
            </w:r>
          </w:p>
        </w:tc>
        <w:tc>
          <w:tcPr>
            <w:tcW w:type="dxa" w:w="1726"/>
            <w:vAlign w:val="center"/>
          </w:tcPr>
          <w:p>
            <w:r/>
            <w:r>
              <w:rPr>
                <w:b w:val="0"/>
                <w:sz w:val="14"/>
              </w:rPr>
              <w:t>1 200 MAD / jour</w:t>
            </w:r>
          </w:p>
        </w:tc>
        <w:tc>
          <w:tcPr>
            <w:tcW w:type="dxa" w:w="1726"/>
            <w:vAlign w:val="center"/>
          </w:tcPr>
          <w:p>
            <w:r/>
            <w:r>
              <w:rPr>
                <w:b w:val="0"/>
                <w:sz w:val="14"/>
              </w:rPr>
              <w:t>Opex annuel</w:t>
            </w:r>
          </w:p>
        </w:tc>
      </w:tr>
      <w:tr>
        <w:tc>
          <w:tcPr>
            <w:tcW w:type="dxa" w:w="1726"/>
            <w:vAlign w:val="center"/>
          </w:tcPr>
          <w:p>
            <w:r/>
            <w:r>
              <w:rPr>
                <w:b w:val="0"/>
                <w:sz w:val="14"/>
              </w:rPr>
              <w:t>Techniciens support niveau 1</w:t>
            </w:r>
          </w:p>
        </w:tc>
        <w:tc>
          <w:tcPr>
            <w:tcW w:type="dxa" w:w="1726"/>
            <w:vAlign w:val="center"/>
          </w:tcPr>
          <w:p>
            <w:r/>
            <w:r>
              <w:rPr>
                <w:b w:val="0"/>
                <w:sz w:val="14"/>
              </w:rPr>
              <w:t>20 ETP</w:t>
            </w:r>
          </w:p>
        </w:tc>
        <w:tc>
          <w:tcPr>
            <w:tcW w:type="dxa" w:w="1726"/>
            <w:vAlign w:val="center"/>
          </w:tcPr>
          <w:p>
            <w:r/>
            <w:r>
              <w:rPr>
                <w:b w:val="0"/>
                <w:sz w:val="14"/>
              </w:rPr>
              <w:t>18 ETP</w:t>
            </w:r>
          </w:p>
        </w:tc>
        <w:tc>
          <w:tcPr>
            <w:tcW w:type="dxa" w:w="1726"/>
            <w:vAlign w:val="center"/>
          </w:tcPr>
          <w:p>
            <w:r/>
            <w:r>
              <w:rPr>
                <w:b w:val="0"/>
                <w:sz w:val="14"/>
              </w:rPr>
              <w:t>12 ETP</w:t>
            </w:r>
          </w:p>
        </w:tc>
        <w:tc>
          <w:tcPr>
            <w:tcW w:type="dxa" w:w="1726"/>
            <w:vAlign w:val="center"/>
          </w:tcPr>
          <w:p>
            <w:r/>
            <w:r>
              <w:rPr>
                <w:b w:val="0"/>
                <w:sz w:val="14"/>
              </w:rPr>
              <w:t>-6 ETP</w:t>
            </w:r>
          </w:p>
        </w:tc>
        <w:tc>
          <w:tcPr>
            <w:tcW w:type="dxa" w:w="1726"/>
            <w:vAlign w:val="center"/>
          </w:tcPr>
          <w:p>
            <w:r/>
            <w:r>
              <w:rPr>
                <w:b w:val="0"/>
                <w:sz w:val="14"/>
              </w:rPr>
              <w:t>Baisse du besoin</w:t>
            </w:r>
          </w:p>
        </w:tc>
        <w:tc>
          <w:tcPr>
            <w:tcW w:type="dxa" w:w="1726"/>
            <w:vAlign w:val="center"/>
          </w:tcPr>
          <w:p>
            <w:r/>
            <w:r>
              <w:rPr>
                <w:b w:val="0"/>
                <w:sz w:val="14"/>
              </w:rPr>
              <w:t>Bot / Build : automatisation et mobilité</w:t>
            </w:r>
          </w:p>
        </w:tc>
        <w:tc>
          <w:tcPr>
            <w:tcW w:type="dxa" w:w="1726"/>
            <w:vAlign w:val="center"/>
          </w:tcPr>
          <w:p>
            <w:r/>
            <w:r>
              <w:rPr>
                <w:b w:val="0"/>
                <w:sz w:val="14"/>
              </w:rPr>
              <w:t>30 k MAD</w:t>
            </w:r>
          </w:p>
        </w:tc>
        <w:tc>
          <w:tcPr>
            <w:tcW w:type="dxa" w:w="1726"/>
            <w:vAlign w:val="center"/>
          </w:tcPr>
          <w:p>
            <w:r/>
            <w:r>
              <w:rPr>
                <w:b w:val="0"/>
                <w:sz w:val="14"/>
              </w:rPr>
              <w:t>180 000 MAD</w:t>
            </w:r>
          </w:p>
        </w:tc>
      </w:tr>
    </w:tbl>
    <w:p/>
    <w:p>
      <w:r>
        <w:rPr>
          <w:b/>
        </w:rPr>
        <w:t xml:space="preserve">Mode d’emploi : </w:t>
      </w:r>
      <w:r>
        <w:t>prioriser les familles de métiers qui combinent forte contribution business, rareté sur le marché et risque opérationnel. L’arbitrage final doit tenir compte du coût, du délai de disponibilité et du risque d’intégration.</w:t>
      </w:r>
    </w:p>
    <w:sectPr w:rsidR="00FC693F" w:rsidRPr="0006063C" w:rsidSect="00034616">
      <w:pgSz w:w="16834" w:h="11909"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4242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4242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24242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