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pPr>
      <w:r>
        <w:rPr>
          <w:rFonts w:ascii="Arial" w:hAnsi="Arial"/>
          <w:b/>
          <w:color w:val="000000"/>
          <w:sz w:val="48"/>
        </w:rPr>
        <w:t>Grille de sélection et de recette d’un ATS</w:t>
      </w:r>
    </w:p>
    <w:p>
      <w:pPr>
        <w:spacing w:after="360" w:line="276" w:lineRule="auto"/>
      </w:pPr>
      <w:r>
        <w:rPr>
          <w:rFonts w:ascii="Arial" w:hAnsi="Arial"/>
          <w:sz w:val="22"/>
        </w:rPr>
        <w:t>Cette fiche permet de comparer les solutions sur des exigences vérifiables, de tester les parcours critiques et de documenter la décision de mise en production. Elle doit être complétée par les RH, les managers recruteurs, la DSI et le responsable de la protection des données.</w:t>
      </w:r>
    </w:p>
    <w:p>
      <w:pPr>
        <w:pStyle w:val="Heading1"/>
        <w:keepNext/>
        <w:spacing w:before="280" w:after="140"/>
      </w:pPr>
      <w:r>
        <w:rPr>
          <w:rFonts w:ascii="Arial" w:hAnsi="Arial"/>
          <w:b/>
          <w:color w:val="000000"/>
        </w:rPr>
        <w:t>Informations générales</w:t>
      </w:r>
    </w:p>
    <w:tbl>
      <w:tblPr>
        <w:tblW w:type="auto" w:w="0"/>
        <w:jc w:val="center"/>
        <w:tblLayout w:type="fixed"/>
        <w:tblLook w:firstColumn="1" w:firstRow="1" w:lastColumn="0" w:lastRow="0" w:noHBand="0" w:noVBand="1" w:val="04A0"/>
      </w:tblPr>
      <w:tblGrid>
        <w:gridCol w:w="5184"/>
        <w:gridCol w:w="5184"/>
      </w:tblGrid>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Entreprise et entités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Volume annuel de recrutements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Familles de postes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Chef de projet</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Éditeurs évalués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Date de la démonstration</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Date de décision</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bl>
    <w:p>
      <w:pPr>
        <w:pStyle w:val="Heading1"/>
        <w:keepNext/>
        <w:spacing w:before="280" w:after="140"/>
      </w:pPr>
      <w:r>
        <w:rPr>
          <w:rFonts w:ascii="Arial" w:hAnsi="Arial"/>
          <w:b/>
          <w:color w:val="000000"/>
        </w:rPr>
        <w:t>Critères éliminatoires</w:t>
      </w:r>
    </w:p>
    <w:p>
      <w:pPr>
        <w:spacing w:after="140" w:line="264" w:lineRule="auto"/>
      </w:pPr>
      <w:r>
        <w:rPr>
          <w:rFonts w:ascii="Arial" w:hAnsi="Arial"/>
          <w:sz w:val="21"/>
        </w:rPr>
        <w:t>Une réponse négative sur un critère éliminatoire doit être résolue ou formellement acceptée avant la comparaison des scores.</w:t>
      </w:r>
    </w:p>
    <w:tbl>
      <w:tblPr>
        <w:tblW w:type="auto" w:w="0"/>
        <w:jc w:val="center"/>
        <w:tblLayout w:type="fixed"/>
        <w:tblLook w:firstColumn="1" w:firstRow="1" w:lastColumn="0" w:lastRow="0" w:noHBand="0" w:noVBand="1" w:val="04A0"/>
      </w:tblPr>
      <w:tblGrid>
        <w:gridCol w:w="2592"/>
        <w:gridCol w:w="2592"/>
        <w:gridCol w:w="2592"/>
        <w:gridCol w:w="2592"/>
      </w:tblGrid>
      <w:tr>
        <w:trPr>
          <w:tblHeader w:val="true"/>
          <w:cantSplit/>
        </w:trPr>
        <w:tc>
          <w:tcPr>
            <w:tcW w:type="dxa" w:w="43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Exigence</w:t>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Réponse</w:t>
            </w:r>
          </w:p>
        </w:tc>
        <w:tc>
          <w:tcPr>
            <w:tcW w:type="dxa" w:w="244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Preuve</w:t>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Décision</w:t>
            </w:r>
          </w:p>
        </w:tc>
      </w:tr>
      <w:tr>
        <w:trPr>
          <w:cantSplit/>
        </w:trPr>
        <w:tc>
          <w:tcPr>
            <w:tcW w:type="dxa" w:w="43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Conformité loi 09 08 et formalités</w:t>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44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43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Habilitations par rôle et par poste</w:t>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44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43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Traçabilité des accès et exports</w:t>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44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43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Purge et exercice des droits</w:t>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44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43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Restitution complète des données</w:t>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44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43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Compatibilité mobile candidat</w:t>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44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43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Support des langues nécessaires</w:t>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44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43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Plan de réversibilité documenté</w:t>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44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bl>
    <w:p>
      <w:pPr>
        <w:pStyle w:val="Heading1"/>
        <w:keepNext/>
        <w:pageBreakBefore/>
        <w:spacing w:before="280" w:after="140"/>
      </w:pPr>
      <w:r>
        <w:rPr>
          <w:rFonts w:ascii="Arial" w:hAnsi="Arial"/>
          <w:b/>
          <w:color w:val="000000"/>
        </w:rPr>
        <w:t>Grille de comparaison pondérée</w:t>
      </w:r>
    </w:p>
    <w:p>
      <w:pPr>
        <w:spacing w:after="140" w:line="264" w:lineRule="auto"/>
      </w:pPr>
      <w:r>
        <w:rPr>
          <w:rFonts w:ascii="Arial" w:hAnsi="Arial"/>
          <w:sz w:val="21"/>
        </w:rPr>
        <w:t>Attribuer un poids total de 100 points. Noter chaque solution de 0 à 5, puis multiplier la note par le poids. Toute note doit être reliée à une preuve observée en démonstration ou en recette.</w:t>
      </w:r>
    </w:p>
    <w:tbl>
      <w:tblPr>
        <w:tblW w:type="auto" w:w="0"/>
        <w:jc w:val="center"/>
        <w:tblLayout w:type="fixed"/>
        <w:tblLook w:firstColumn="1" w:firstRow="1" w:lastColumn="0" w:lastRow="0" w:noHBand="0" w:noVBand="1" w:val="04A0"/>
      </w:tblPr>
      <w:tblGrid>
        <w:gridCol w:w="1481"/>
        <w:gridCol w:w="1481"/>
        <w:gridCol w:w="1481"/>
        <w:gridCol w:w="1481"/>
        <w:gridCol w:w="1481"/>
        <w:gridCol w:w="1481"/>
        <w:gridCol w:w="1481"/>
      </w:tblGrid>
      <w:tr>
        <w:trPr>
          <w:tblHeader w:val="true"/>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ID</w:t>
            </w:r>
          </w:p>
        </w:tc>
        <w:tc>
          <w:tcPr>
            <w:tcW w:type="dxa" w:w="38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Critère</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Poids</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ATS A</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ATS B</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ATS C</w:t>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Commentaire</w:t>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CR-01</w:t>
            </w:r>
          </w:p>
        </w:tc>
        <w:tc>
          <w:tcPr>
            <w:tcW w:type="dxa" w:w="38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Parcours candidat mobile</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CR-02</w:t>
            </w:r>
          </w:p>
        </w:tc>
        <w:tc>
          <w:tcPr>
            <w:tcW w:type="dxa" w:w="38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Site carrière et formulaires</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CR-03</w:t>
            </w:r>
          </w:p>
        </w:tc>
        <w:tc>
          <w:tcPr>
            <w:tcW w:type="dxa" w:w="38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Multidiffusion des offres</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CR-04</w:t>
            </w:r>
          </w:p>
        </w:tc>
        <w:tc>
          <w:tcPr>
            <w:tcW w:type="dxa" w:w="38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Recherche et viviers</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CR-05</w:t>
            </w:r>
          </w:p>
        </w:tc>
        <w:tc>
          <w:tcPr>
            <w:tcW w:type="dxa" w:w="38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Analyse des CV multilingues</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CR-06</w:t>
            </w:r>
          </w:p>
        </w:tc>
        <w:tc>
          <w:tcPr>
            <w:tcW w:type="dxa" w:w="38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Grilles et collaboration managers</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CR-07</w:t>
            </w:r>
          </w:p>
        </w:tc>
        <w:tc>
          <w:tcPr>
            <w:tcW w:type="dxa" w:w="38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Agendas et messages</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CR-08</w:t>
            </w:r>
          </w:p>
        </w:tc>
        <w:tc>
          <w:tcPr>
            <w:tcW w:type="dxa" w:w="38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IA explicable et contrôle des biais</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CR-09</w:t>
            </w:r>
          </w:p>
        </w:tc>
        <w:tc>
          <w:tcPr>
            <w:tcW w:type="dxa" w:w="38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Consentement et purge</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CR-10</w:t>
            </w:r>
          </w:p>
        </w:tc>
        <w:tc>
          <w:tcPr>
            <w:tcW w:type="dxa" w:w="38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Sécurité et journalisation</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CR-11</w:t>
            </w:r>
          </w:p>
        </w:tc>
        <w:tc>
          <w:tcPr>
            <w:tcW w:type="dxa" w:w="38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Hébergement et transferts</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CR-12</w:t>
            </w:r>
          </w:p>
        </w:tc>
        <w:tc>
          <w:tcPr>
            <w:tcW w:type="dxa" w:w="38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Intégration SIRH API et export</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CR-13</w:t>
            </w:r>
          </w:p>
        </w:tc>
        <w:tc>
          <w:tcPr>
            <w:tcW w:type="dxa" w:w="38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Tableaux de bord</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CR-14</w:t>
            </w:r>
          </w:p>
        </w:tc>
        <w:tc>
          <w:tcPr>
            <w:tcW w:type="dxa" w:w="38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Support et délais de réponse</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79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CR-15</w:t>
            </w:r>
          </w:p>
        </w:tc>
        <w:tc>
          <w:tcPr>
            <w:tcW w:type="dxa" w:w="381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Coût total sur trois ans</w:t>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bl>
    <w:p>
      <w:pPr>
        <w:pStyle w:val="Heading1"/>
        <w:keepNext/>
        <w:pageBreakBefore/>
        <w:spacing w:before="280" w:after="140"/>
      </w:pPr>
      <w:r>
        <w:rPr>
          <w:rFonts w:ascii="Arial" w:hAnsi="Arial"/>
          <w:b/>
          <w:color w:val="000000"/>
        </w:rPr>
        <w:t>Recette fonctionnelle</w:t>
      </w:r>
    </w:p>
    <w:p>
      <w:pPr>
        <w:spacing w:after="140" w:line="264" w:lineRule="auto"/>
      </w:pPr>
      <w:r>
        <w:rPr>
          <w:rFonts w:ascii="Arial" w:hAnsi="Arial"/>
          <w:sz w:val="21"/>
        </w:rPr>
        <w:t>Exécuter les tests avec des données fictives ou anonymisées. Comparer le résultat obtenu au résultat attendu et joindre une preuve pour chaque scénario.</w:t>
      </w:r>
    </w:p>
    <w:tbl>
      <w:tblPr>
        <w:tblW w:type="auto" w:w="0"/>
        <w:jc w:val="center"/>
        <w:tblLayout w:type="fixed"/>
        <w:tblLook w:firstColumn="1" w:firstRow="1" w:lastColumn="0" w:lastRow="0" w:noHBand="0" w:noVBand="1" w:val="04A0"/>
      </w:tblPr>
      <w:tblGrid>
        <w:gridCol w:w="1481"/>
        <w:gridCol w:w="1481"/>
        <w:gridCol w:w="1481"/>
        <w:gridCol w:w="1481"/>
        <w:gridCol w:w="1481"/>
        <w:gridCol w:w="1481"/>
        <w:gridCol w:w="1481"/>
      </w:tblGrid>
      <w:tr>
        <w:trPr>
          <w:tblHeader w:val="true"/>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ID</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Scénario</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Attendu</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Obtenu</w:t>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Écart</w:t>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Preuve</w:t>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Statut</w:t>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TST-01</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Candidature sur mobile</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TST-02</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CV multilingue</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TST-03</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Candidature en doublon</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TST-04</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Cooptation interne</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TST-05</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Accès manager limité</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TST-06</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Grille d’entretien partagée</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TST-07</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Planification automatique</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TST-08</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Refus avec motif</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TST-09</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Réactivation d’un vivier</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TST-10</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Consentement au vivier</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TST-11</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Demande de rectification</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TST-12</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Demande de suppression</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TST-13</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Purge à échéance</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TST-14</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Export de la piste d’audit</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9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TST-15</w:t>
            </w:r>
          </w:p>
        </w:tc>
        <w:tc>
          <w:tcPr>
            <w:tcW w:type="dxa" w:w="252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Restitution de la base</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1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0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bl>
    <w:p>
      <w:pPr>
        <w:pStyle w:val="Heading1"/>
        <w:keepNext/>
        <w:pageBreakBefore/>
        <w:spacing w:before="280" w:after="140"/>
      </w:pPr>
      <w:r>
        <w:rPr>
          <w:rFonts w:ascii="Arial" w:hAnsi="Arial"/>
          <w:b/>
          <w:color w:val="000000"/>
        </w:rPr>
        <w:t>Validation de la mise en production</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cantSplit/>
        </w:trPr>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Contrôle</w:t>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Preuve</w:t>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Responsable</w:t>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Statut</w:t>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Action</w:t>
            </w:r>
          </w:p>
        </w:tc>
      </w:tr>
      <w:tr>
        <w:trPr>
          <w:cantSplit/>
        </w:trPr>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Périmètre validé</w:t>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Critères éliminatoires levés</w:t>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Scores consolidés</w:t>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Recette métier terminée</w:t>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Recette sécurité terminée</w:t>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Formalités CNDP traitées</w:t>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Migration contrôlée</w:t>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Managers formés</w:t>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Support mobilisable</w:t>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Retour arrière prêt</w:t>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Réversibilité testée</w:t>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31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Validation métier obtenue</w:t>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80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5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16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bl>
    <w:p>
      <w:pPr>
        <w:pStyle w:val="Heading1"/>
        <w:keepNext/>
        <w:spacing w:before="280" w:after="140"/>
      </w:pPr>
      <w:r>
        <w:rPr>
          <w:rFonts w:ascii="Arial" w:hAnsi="Arial"/>
          <w:b/>
          <w:color w:val="000000"/>
        </w:rPr>
        <w:t>Décision</w:t>
      </w:r>
    </w:p>
    <w:tbl>
      <w:tblPr>
        <w:tblW w:type="auto" w:w="0"/>
        <w:jc w:val="center"/>
        <w:tblLayout w:type="fixed"/>
        <w:tblLook w:firstColumn="1" w:firstRow="1" w:lastColumn="0" w:lastRow="0" w:noHBand="0" w:noVBand="1" w:val="04A0"/>
      </w:tblPr>
      <w:tblGrid>
        <w:gridCol w:w="5184"/>
        <w:gridCol w:w="5184"/>
      </w:tblGrid>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Solution retenue</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Réserves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Mesures compensatoires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Date de mise en production</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Décision</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Autoriser / Limiter / Reporter</w:t>
            </w:r>
          </w:p>
        </w:tc>
      </w:tr>
      <w:tr>
        <w:trPr>
          <w:cantSplit/>
        </w:trPr>
        <w:tc>
          <w:tcPr>
            <w:tcW w:type="dxa" w:w="352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Signatures</w:t>
            </w:r>
          </w:p>
        </w:tc>
        <w:tc>
          <w:tcPr>
            <w:tcW w:type="dxa" w:w="69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RH :                 DSI :                 Direction :</w:t>
            </w:r>
          </w:p>
        </w:tc>
      </w:tr>
    </w:tbl>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