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36"/>
        </w:rPr>
        <w:t>Fiche outil 1 - Structure d’un Bilan Social Individuel</w:t>
      </w:r>
    </w:p>
    <w:p>
      <w:pPr>
        <w:jc w:val="center"/>
      </w:pPr>
      <w:r>
        <w:rPr>
          <w:i/>
          <w:sz w:val="20"/>
        </w:rPr>
        <w:t>Template de contenu pour un livret BSI personnalisé 2026/2027</w:t>
      </w:r>
    </w:p>
    <w:p>
      <w:r>
        <w:rPr>
          <w:sz w:val="18"/>
        </w:rPr>
        <w:t>Objectif : présenter au collaborateur la valeur complète de sa rémunération globale, en rendant visibles les composantes directes et indirectes financées par l’entreprise.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Page</w:t>
            </w:r>
          </w:p>
        </w:tc>
        <w:tc>
          <w:tcPr>
            <w:tcW w:type="dxa" w:w="3108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Bloc</w:t>
            </w:r>
          </w:p>
        </w:tc>
        <w:tc>
          <w:tcPr>
            <w:tcW w:type="dxa" w:w="3108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Contenu à intégrer</w:t>
            </w:r>
          </w:p>
        </w:tc>
        <w:tc>
          <w:tcPr>
            <w:tcW w:type="dxa" w:w="3108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Donnée source</w:t>
            </w:r>
          </w:p>
        </w:tc>
        <w:tc>
          <w:tcPr>
            <w:tcW w:type="dxa" w:w="3108"/>
            <w:vAlign w:val="center"/>
            <w:shd w:fill="FF004A"/>
          </w:tcPr>
          <w:p>
            <w:r/>
            <w:r>
              <w:rPr>
                <w:b/>
                <w:color w:val="FFFFFF"/>
                <w:sz w:val="16"/>
              </w:rPr>
              <w:t>Objectif pédagogique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Éditorial et synthèse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Mot DRH/DG, identité collaborateur, ancienneté, poste, unité, montant total investi par l’entreprise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Paie, SIRH, effectifs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Ouvrir sur un chiffre global immédiatement lisible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Infographie globale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Répartition salaire direct / protection sociale / avantages / formation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Paie, assurances, formation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Faire comprendre la rémunération globale au-delà du net perçu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Rémunération directe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Salaire brut annuel, primes fixes, ancienneté, variable, 13e mois, gratifications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Paie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Rendre la partie cash transparente et vérifiable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Protection sociale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CNSS, AMO, accidents du travail, CIMR, mutuelle, prévoyance, garanties famille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Paie, courtier, contrats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Valoriser l’effort patronal souvent invisible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Avantages et cadre de travail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Restauration, transport, véhicule, équipement IT, téléphonie, télétravail, QVT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Services généraux, RH, achats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Montrer les services financés par l’entreprise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Développement des compétences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Formations suivies, heures, budget engagé, certifications, accompagnement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LMS, formation, finance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b w:val="0"/>
                <w:sz w:val="14"/>
              </w:rPr>
              <w:t>Relier investissement formation et évolution professionnelle</w:t>
            </w:r>
          </w:p>
        </w:tc>
      </w:tr>
    </w:tbl>
    <w:p>
      <w:r>
        <w:rPr>
          <w:b/>
        </w:rPr>
        <w:t>Contrôles avant diffusion</w:t>
      </w:r>
    </w:p>
    <w:p>
      <w:pPr>
        <w:pStyle w:val="ListBullet"/>
      </w:pPr>
      <w:r>
        <w:rPr>
          <w:sz w:val="16"/>
        </w:rPr>
        <w:t>Données de paie N-1 stabilisées et validées.</w:t>
      </w:r>
    </w:p>
    <w:p>
      <w:pPr>
        <w:pStyle w:val="ListBullet"/>
      </w:pPr>
      <w:r>
        <w:rPr>
          <w:sz w:val="16"/>
        </w:rPr>
        <w:t>Montants des avantages alignés avec les factures et contrats fournisseurs.</w:t>
      </w:r>
    </w:p>
    <w:p>
      <w:pPr>
        <w:pStyle w:val="ListBullet"/>
      </w:pPr>
      <w:r>
        <w:rPr>
          <w:sz w:val="16"/>
        </w:rPr>
        <w:t>Document généré sans traitement manuel ligne à ligne.</w:t>
      </w:r>
    </w:p>
    <w:p>
      <w:pPr>
        <w:pStyle w:val="ListBullet"/>
      </w:pPr>
      <w:r>
        <w:rPr>
          <w:sz w:val="16"/>
        </w:rPr>
        <w:t>Accès sécurisé : portail RH, coffre-fort numérique ou PDF protégé.</w:t>
      </w:r>
    </w:p>
    <w:p>
      <w:pPr>
        <w:pStyle w:val="ListBullet"/>
      </w:pPr>
      <w:r>
        <w:rPr>
          <w:sz w:val="16"/>
        </w:rPr>
        <w:t>Message manager préparé pour éviter les incompréhensions salariales.</w:t>
      </w:r>
    </w:p>
    <w:sectPr w:rsidR="00FC693F" w:rsidRPr="0006063C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