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pPr>
      <w:r>
        <w:rPr>
          <w:rFonts w:ascii="Arial" w:hAnsi="Arial"/>
          <w:b/>
          <w:color w:val="000000"/>
          <w:sz w:val="48"/>
        </w:rPr>
        <w:t>Base de connaissances et recette pour un assistant RH</w:t>
      </w:r>
    </w:p>
    <w:p>
      <w:pPr>
        <w:spacing w:after="360" w:line="276" w:lineRule="auto"/>
      </w:pPr>
      <w:r>
        <w:rPr>
          <w:rFonts w:ascii="Arial" w:hAnsi="Arial"/>
          <w:sz w:val="22"/>
        </w:rPr>
        <w:t>Cette fiche organise les sources utilisées par l’assistant, les tests avant mise en service et le suivi des réponses après lancement. Elle permet de vérifier la qualité, la sécurité, les langues et l’escalade humaine.</w:t>
      </w:r>
    </w:p>
    <w:p>
      <w:pPr>
        <w:pStyle w:val="Heading1"/>
        <w:keepNext/>
        <w:spacing w:before="280" w:after="140"/>
      </w:pPr>
      <w:r>
        <w:rPr>
          <w:rFonts w:ascii="Arial" w:hAnsi="Arial"/>
          <w:b/>
          <w:color w:val="000000"/>
        </w:rPr>
        <w:t>Informations générales</w:t>
      </w:r>
    </w:p>
    <w:tbl>
      <w:tblPr>
        <w:tblW w:type="auto" w:w="0"/>
        <w:jc w:val="center"/>
        <w:tblLayout w:type="fixed"/>
        <w:tblLook w:firstColumn="1" w:firstRow="1" w:lastColumn="0" w:lastRow="0" w:noHBand="0" w:noVBand="1" w:val="04A0"/>
      </w:tblPr>
      <w:tblGrid>
        <w:gridCol w:w="5184"/>
        <w:gridCol w:w="5184"/>
      </w:tblGrid>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Entreprise et périmètre</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de la base</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de recette</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Version de l’assistant</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Population test</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de validation</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bl>
    <w:p>
      <w:pPr>
        <w:pStyle w:val="Heading1"/>
        <w:keepNext/>
        <w:spacing w:before="280" w:after="140"/>
      </w:pPr>
      <w:r>
        <w:rPr>
          <w:rFonts w:ascii="Arial" w:hAnsi="Arial"/>
          <w:b/>
          <w:color w:val="000000"/>
        </w:rPr>
        <w:t>Registre des sources</w:t>
      </w:r>
    </w:p>
    <w:tbl>
      <w:tblPr>
        <w:tblW w:type="auto" w:w="0"/>
        <w:jc w:val="center"/>
        <w:tblLayout w:type="fixed"/>
        <w:tblLook w:firstColumn="1" w:firstRow="1" w:lastColumn="0" w:lastRow="0" w:noHBand="0" w:noVBand="1" w:val="04A0"/>
      </w:tblPr>
      <w:tblGrid>
        <w:gridCol w:w="1296"/>
        <w:gridCol w:w="1296"/>
        <w:gridCol w:w="1296"/>
        <w:gridCol w:w="1296"/>
        <w:gridCol w:w="1296"/>
        <w:gridCol w:w="1296"/>
        <w:gridCol w:w="1296"/>
        <w:gridCol w:w="1296"/>
      </w:tblGrid>
      <w:tr>
        <w:trPr>
          <w:tblHeader w:val="true"/>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Document</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Référent</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Population</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Version</w:t>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Révision</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Accès</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SRC-01</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SRC-02</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SRC-03</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SRC-04</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SRC-05</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SRC-06</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SRC-07</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SRC-08</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SRC-09</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SRC-10</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SRC-11</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SRC-12</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SRC-13</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SRC-14</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Actif</w:t>
              <w:br/>
              <w:t>☐ Retiré</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SRC-15</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Actif</w:t>
              <w:br/>
              <w:t>☐ Retiré</w:t>
            </w:r>
          </w:p>
        </w:tc>
      </w:tr>
    </w:tbl>
    <w:p>
      <w:pPr>
        <w:pStyle w:val="Heading1"/>
        <w:keepNext/>
        <w:spacing w:before="280" w:after="140"/>
      </w:pPr>
      <w:r>
        <w:rPr>
          <w:rFonts w:ascii="Arial" w:hAnsi="Arial"/>
          <w:b/>
          <w:color w:val="000000"/>
        </w:rPr>
        <w:t>Jeux de test</w:t>
      </w:r>
    </w:p>
    <w:p>
      <w:pPr>
        <w:spacing w:after="140" w:line="264" w:lineRule="auto"/>
      </w:pPr>
      <w:r>
        <w:rPr>
          <w:rFonts w:ascii="Arial" w:hAnsi="Arial"/>
          <w:sz w:val="21"/>
        </w:rPr>
        <w:t>Tester les formulations courtes, longues, ambiguës, multilingues et contenant des fautes. Utiliser uniquement des données fictives ou protégées dans l environnement de recette.</w:t>
      </w:r>
    </w:p>
    <w:tbl>
      <w:tblPr>
        <w:tblW w:type="auto" w:w="0"/>
        <w:jc w:val="center"/>
        <w:tblLayout w:type="fixed"/>
        <w:tblLook w:firstColumn="1" w:firstRow="1" w:lastColumn="0" w:lastRow="0" w:noHBand="0" w:noVBand="1" w:val="04A0"/>
      </w:tblPr>
      <w:tblGrid>
        <w:gridCol w:w="1296"/>
        <w:gridCol w:w="1296"/>
        <w:gridCol w:w="1296"/>
        <w:gridCol w:w="1296"/>
        <w:gridCol w:w="1296"/>
        <w:gridCol w:w="1296"/>
        <w:gridCol w:w="1296"/>
        <w:gridCol w:w="1296"/>
      </w:tblGrid>
      <w:tr>
        <w:trPr>
          <w:tblHeader w:val="true"/>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Profil</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Langue</w:t>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Question</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Réponse attendue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Source</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Escalade</w:t>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Résultat</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TST-01</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TST-02</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TST-03</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TST-04</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TST-05</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TST-06</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TST-07</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TST-08</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TST-09</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TST-10</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TST-11</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TST-12</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TST-13</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TST-14</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TST-15</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TST-16</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TST-17</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TST-18</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TST-19</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TST-20</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r>
    </w:tbl>
    <w:p>
      <w:pPr>
        <w:pStyle w:val="Heading1"/>
        <w:keepNext/>
        <w:spacing w:before="280" w:after="140"/>
      </w:pPr>
      <w:r>
        <w:rPr>
          <w:rFonts w:ascii="Arial" w:hAnsi="Arial"/>
          <w:b/>
          <w:color w:val="000000"/>
        </w:rPr>
        <w:t>Contrôles avant mise en service</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Contrôle</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 attendue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Responsable</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Action</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Sources validées et à jour</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Droits d’accès aux documents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Authentification des données individuelles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Refus sur les sujets interdits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Escalade des situations sensibles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Information sur le caractère automatisé</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Conservation des conversations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Sous-traitants et transferts documentés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Journalisation et accès aux traces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Procédure de retrait d’une réponse</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Test français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Test arabe</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Test darija</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Test mobile et accessibilité</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OK</w:t>
              <w:br/>
              <w:t>☐ KO</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Registre des réponses à corriger</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Date</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Question</w:t>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Réponse</w:t>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Risque</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Cause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Correction</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Clôture</w:t>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r>
        <w:br w:type="page"/>
      </w:r>
    </w:p>
    <w:p>
      <w:pPr>
        <w:pStyle w:val="Heading1"/>
        <w:keepNext/>
        <w:spacing w:before="280" w:after="140"/>
      </w:pPr>
      <w:r>
        <w:rPr>
          <w:rFonts w:ascii="Arial" w:hAnsi="Arial"/>
          <w:b/>
          <w:color w:val="000000"/>
        </w:rPr>
        <w:t>Tableau de bord mensuel</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Indicateur</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Définition</w:t>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Mois N</w:t>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Cible</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Écart</w:t>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Action</w:t>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Résolution autonome confirmée</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Taux d’escalade</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Demandes réouvertes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Réponses corrigées</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Délai de reprise humaine</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Satisfaction après résolution</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Incidents d’habilitation</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Sources arrivées à échéance</w:t>
            </w:r>
          </w:p>
        </w:tc>
        <w:tc>
          <w:tcPr>
            <w:tcW w:type="dxa" w:w="28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Décision de mise en service</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Anomalies bloquantes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Réserves acceptées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Mesures compensatoires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du prochain contrôle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Décision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 Mettre en service   ☐ Limiter le périmètre   ☐ Reporter</w:t>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Signatures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DRH :                 DSI :                 Conformité :</w:t>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