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Cahier des charges pour consulter des prestataires SIRH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trame aide la direction RH à structurer une consultation courte et comparable. Elle précise le besoin, les scénarios de démonstration, les preuves attendues et les engagements à intégrer au contrat.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1 Contexte et objectifs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Effectif et évolution prévue à trois ans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Nombre d entités et d établissements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Pays et populations concernés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Systèmes actuellement utilisés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Difficultés prioritaires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de la première phase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4032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cible de mise en production</w:t>
            </w:r>
          </w:p>
        </w:tc>
        <w:tc>
          <w:tcPr>
            <w:tcW w:type="dxa" w:w="64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2 Périmètre fonctionnel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Domaine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Priorité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Phase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Population</w:t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 attendu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Dossier collaborateur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Paie et déclarations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des temps et absences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Recrutement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Onboarding et offboarding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et compétences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Performance et objectifs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Rémunération et avantages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Portail collaborateur et manager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Reporting et people analytics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Haute</w:t>
              <w:br/>
              <w:t>☐ Moyenne</w:t>
              <w:br/>
              <w:t>☐ Basse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3 Scénarios obligatoires de démonstration</w:t>
      </w:r>
    </w:p>
    <w:p>
      <w:pPr>
        <w:spacing w:after="140" w:line="264" w:lineRule="auto"/>
      </w:pPr>
      <w:r>
        <w:rPr>
          <w:rFonts w:ascii="Arial" w:hAnsi="Arial"/>
          <w:sz w:val="21"/>
        </w:rPr>
        <w:t>Le prestataire doit exécuter ces scénarios dans l outil proposé. Une présentation générique ou une capture d écran ne vaut pas preuve de couverture.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Scénario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Données fournies</w:t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 attendu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Observation</w:t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Créer un collaborateur et déclencher son onboarding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Calculer une paie avec prime absence et rappel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Traiter une demande de congé avec plusieurs niveaux de validation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Modifier une affectation et conserver l historique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Extraire un reporting consolidé par entité et établissement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Désactiver un accès et produire la trace de l opération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Exporter le dossier complet dans un format exploitable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6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Simuler une indisponibilité et présenter la procédure de reprise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4 Architecture et interfaces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Système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Sens du flux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Donnée de référence</w:t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Finance ou ERP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Pointage ou GTA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Banque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CNSS et déclaratif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ATS ou jobboard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LMS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Active Directory ou SSO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Data warehouse ou BI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8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87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5 Conformité sécurité et données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Exigence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Réponse du prestataire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 à joindre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Localisation de la production et des sauvegardes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Transferts éventuels de données hors du Maroc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Sous traitants et responsabilités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Chiffrement des données et des échanges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des profils et séparation des rôles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Journalisation et conservation des traces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Sauvegarde continuité et reprise d activité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Gestion et notification des incidents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Durées de conservation et suppression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Restitution complète des données en fin de contrat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Audits certifications et tests de sécurité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6 Organisation du projet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Livrable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Validation</w:t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Critère d acceptation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Cadrage détaillé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Nettoyage et reprise des données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Paramétrage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Interfaces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Recette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Mise en production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 de stabilisation</w:t>
            </w:r>
          </w:p>
        </w:tc>
        <w:tc>
          <w:tcPr>
            <w:tcW w:type="dxa" w:w="180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309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7 Coût total sur trois ans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Poste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 1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 2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Année 3</w:t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Hypothèse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Licences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Implémentation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Migration des données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Interfaces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Développements spécifiques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Support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Évolutions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Charge interne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Réversibilité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5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168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TOTAL</w:t>
            </w:r>
          </w:p>
        </w:tc>
        <w:tc>
          <w:tcPr>
            <w:tcW w:type="dxa" w:w="1584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1584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1584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  <w:tc>
          <w:tcPr>
            <w:tcW w:type="dxa" w:w="2592"/>
            <w:shd w:fill="FFE8EF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8 Clauses à contractualiser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Niveaux de service et délais de correction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Calendrier des mises à jour réglementaires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Prix et procédure des demandes d évolution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Responsabilité sur les interfaces et les données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Propriété des paramétrages et développements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Réversibilité délais formats et coûts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Assistance après mise en production</w:t>
      </w:r>
    </w:p>
    <w:p>
      <w:pPr>
        <w:spacing w:after="140" w:line="264" w:lineRule="auto"/>
      </w:pPr>
      <w:r>
        <w:rPr>
          <w:rFonts w:ascii="Arial" w:hAnsi="Arial"/>
          <w:sz w:val="21"/>
        </w:rPr>
        <w:t>☐ Conditions de sortie anticipée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9 Décision finale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Prestataire retenu</w:t>
            </w:r>
          </w:p>
        </w:tc>
        <w:tc>
          <w:tcPr>
            <w:tcW w:type="dxa" w:w="76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Budget validé</w:t>
            </w:r>
          </w:p>
        </w:tc>
        <w:tc>
          <w:tcPr>
            <w:tcW w:type="dxa" w:w="76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Écarts acceptés</w:t>
            </w:r>
          </w:p>
        </w:tc>
        <w:tc>
          <w:tcPr>
            <w:tcW w:type="dxa" w:w="76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Réserves à lever</w:t>
            </w:r>
          </w:p>
        </w:tc>
        <w:tc>
          <w:tcPr>
            <w:tcW w:type="dxa" w:w="76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shd w:fill="F2F2F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6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DRH :                         DSI :                         Direction générale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