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Fiche outil 2 - Calculateur TCO, ROI et business case SIRH</w:t>
      </w:r>
    </w:p>
    <w:p>
      <w:r>
        <w:rPr>
          <w:b/>
        </w:rPr>
        <w:t>Objectif : modéliser le coût complet d’un projet SIRH et démontrer son retour sur investissement sur trois ans, en distinguant dépenses initiales, Opex récurrents et gains validables par la Direction Financière.</w:t>
      </w:r>
    </w:p>
    <w:p>
      <w:pPr>
        <w:pStyle w:val="Heading1"/>
      </w:pPr>
      <w:r>
        <w:t>1. Paramètres de départ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040"/>
            <w:shd w:fill="FF004A"/>
          </w:tcPr>
          <w:p>
            <w:r>
              <w:rPr>
                <w:b/>
                <w:sz w:val="15"/>
              </w:rPr>
              <w:t>Paramètre</w:t>
            </w:r>
          </w:p>
        </w:tc>
        <w:tc>
          <w:tcPr>
            <w:tcW w:type="dxa" w:w="3168"/>
            <w:shd w:fill="FF004A"/>
          </w:tcPr>
          <w:p>
            <w:r>
              <w:rPr>
                <w:b/>
                <w:sz w:val="15"/>
              </w:rPr>
              <w:t>Valeur à renseigner</w:t>
            </w:r>
          </w:p>
        </w:tc>
      </w:tr>
      <w:tr>
        <w:tc>
          <w:tcPr>
            <w:tcW w:type="dxa" w:w="5040"/>
            <w:vAlign w:val="top"/>
          </w:tcPr>
          <w:p>
            <w:r>
              <w:rPr>
                <w:sz w:val="14"/>
              </w:rPr>
              <w:t>Nombre total de collaborateurs couverts</w:t>
            </w:r>
          </w:p>
        </w:tc>
        <w:tc>
          <w:tcPr>
            <w:tcW w:type="dxa" w:w="3168"/>
            <w:vAlign w:val="top"/>
          </w:tcPr>
          <w:p>
            <w:r>
              <w:rPr>
                <w:sz w:val="14"/>
              </w:rPr>
              <w:t>__________</w:t>
            </w:r>
          </w:p>
        </w:tc>
      </w:tr>
      <w:tr>
        <w:tc>
          <w:tcPr>
            <w:tcW w:type="dxa" w:w="5040"/>
            <w:vAlign w:val="top"/>
          </w:tcPr>
          <w:p>
            <w:r>
              <w:rPr>
                <w:sz w:val="14"/>
              </w:rPr>
              <w:t>Nombre total de managers utilisateurs</w:t>
            </w:r>
          </w:p>
        </w:tc>
        <w:tc>
          <w:tcPr>
            <w:tcW w:type="dxa" w:w="3168"/>
            <w:vAlign w:val="top"/>
          </w:tcPr>
          <w:p>
            <w:r>
              <w:rPr>
                <w:sz w:val="14"/>
              </w:rPr>
              <w:t>__________</w:t>
            </w:r>
          </w:p>
        </w:tc>
      </w:tr>
      <w:tr>
        <w:tc>
          <w:tcPr>
            <w:tcW w:type="dxa" w:w="5040"/>
            <w:vAlign w:val="top"/>
          </w:tcPr>
          <w:p>
            <w:r>
              <w:rPr>
                <w:sz w:val="14"/>
              </w:rPr>
              <w:t>Durée d’analyse</w:t>
            </w:r>
          </w:p>
        </w:tc>
        <w:tc>
          <w:tcPr>
            <w:tcW w:type="dxa" w:w="3168"/>
            <w:vAlign w:val="top"/>
          </w:tcPr>
          <w:p>
            <w:r>
              <w:rPr>
                <w:sz w:val="14"/>
              </w:rPr>
              <w:t>36 mois</w:t>
            </w:r>
          </w:p>
        </w:tc>
      </w:tr>
      <w:tr>
        <w:tc>
          <w:tcPr>
            <w:tcW w:type="dxa" w:w="5040"/>
            <w:vAlign w:val="top"/>
          </w:tcPr>
          <w:p>
            <w:r>
              <w:rPr>
                <w:sz w:val="14"/>
              </w:rPr>
              <w:t>Coût horaire chargé moyen RH</w:t>
            </w:r>
          </w:p>
        </w:tc>
        <w:tc>
          <w:tcPr>
            <w:tcW w:type="dxa" w:w="3168"/>
            <w:vAlign w:val="top"/>
          </w:tcPr>
          <w:p>
            <w:r>
              <w:rPr>
                <w:sz w:val="14"/>
              </w:rPr>
              <w:t>__________ MAD</w:t>
            </w:r>
          </w:p>
        </w:tc>
      </w:tr>
      <w:tr>
        <w:tc>
          <w:tcPr>
            <w:tcW w:type="dxa" w:w="5040"/>
            <w:vAlign w:val="top"/>
          </w:tcPr>
          <w:p>
            <w:r>
              <w:rPr>
                <w:sz w:val="14"/>
              </w:rPr>
              <w:t>Coût horaire chargé moyen managers</w:t>
            </w:r>
          </w:p>
        </w:tc>
        <w:tc>
          <w:tcPr>
            <w:tcW w:type="dxa" w:w="3168"/>
            <w:vAlign w:val="top"/>
          </w:tcPr>
          <w:p>
            <w:r>
              <w:rPr>
                <w:sz w:val="14"/>
              </w:rPr>
              <w:t>__________ MAD</w:t>
            </w:r>
          </w:p>
        </w:tc>
      </w:tr>
    </w:tbl>
    <w:p>
      <w:pPr>
        <w:pStyle w:val="Heading1"/>
      </w:pPr>
      <w:r>
        <w:t>2. TCO sur trois ans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2304"/>
            <w:shd w:fill="FF004A"/>
          </w:tcPr>
          <w:p>
            <w:r>
              <w:rPr>
                <w:b/>
                <w:sz w:val="15"/>
              </w:rPr>
              <w:t>Catégorie</w:t>
            </w:r>
          </w:p>
        </w:tc>
        <w:tc>
          <w:tcPr>
            <w:tcW w:type="dxa" w:w="5184"/>
            <w:shd w:fill="FF004A"/>
          </w:tcPr>
          <w:p>
            <w:r>
              <w:rPr>
                <w:b/>
                <w:sz w:val="15"/>
              </w:rPr>
              <w:t>Formule / contenu</w:t>
            </w:r>
          </w:p>
        </w:tc>
        <w:tc>
          <w:tcPr>
            <w:tcW w:type="dxa" w:w="2016"/>
            <w:shd w:fill="FF004A"/>
          </w:tcPr>
          <w:p>
            <w:r>
              <w:rPr>
                <w:b/>
                <w:sz w:val="15"/>
              </w:rPr>
              <w:t>Montant</w:t>
            </w:r>
          </w:p>
        </w:tc>
      </w:tr>
      <w:tr>
        <w:tc>
          <w:tcPr>
            <w:tcW w:type="dxa" w:w="2304"/>
            <w:vAlign w:val="top"/>
          </w:tcPr>
          <w:p>
            <w:r>
              <w:rPr>
                <w:sz w:val="14"/>
              </w:rPr>
              <w:t>Investissement initial</w:t>
            </w:r>
          </w:p>
        </w:tc>
        <w:tc>
          <w:tcPr>
            <w:tcW w:type="dxa" w:w="5184"/>
            <w:vAlign w:val="top"/>
          </w:tcPr>
          <w:p>
            <w:r>
              <w:rPr>
                <w:sz w:val="14"/>
              </w:rPr>
              <w:t>Intégration + paramétrage + données + API + conduite du changement + temps interne</w:t>
            </w:r>
          </w:p>
        </w:tc>
        <w:tc>
          <w:tcPr>
            <w:tcW w:type="dxa" w:w="2016"/>
            <w:vAlign w:val="top"/>
          </w:tcPr>
          <w:p>
            <w:r>
              <w:rPr>
                <w:sz w:val="14"/>
              </w:rPr>
              <w:t>__________ MAD</w:t>
            </w:r>
          </w:p>
        </w:tc>
      </w:tr>
      <w:tr>
        <w:tc>
          <w:tcPr>
            <w:tcW w:type="dxa" w:w="2304"/>
            <w:vAlign w:val="top"/>
          </w:tcPr>
          <w:p>
            <w:r>
              <w:rPr>
                <w:sz w:val="14"/>
              </w:rPr>
              <w:t>Opex annuel</w:t>
            </w:r>
          </w:p>
        </w:tc>
        <w:tc>
          <w:tcPr>
            <w:tcW w:type="dxa" w:w="5184"/>
            <w:vAlign w:val="top"/>
          </w:tcPr>
          <w:p>
            <w:r>
              <w:rPr>
                <w:sz w:val="14"/>
              </w:rPr>
              <w:t>Licences SaaS + support + maintenance</w:t>
            </w:r>
          </w:p>
        </w:tc>
        <w:tc>
          <w:tcPr>
            <w:tcW w:type="dxa" w:w="2016"/>
            <w:vAlign w:val="top"/>
          </w:tcPr>
          <w:p>
            <w:r>
              <w:rPr>
                <w:sz w:val="14"/>
              </w:rPr>
              <w:t>__________ MAD/an</w:t>
            </w:r>
          </w:p>
        </w:tc>
      </w:tr>
      <w:tr>
        <w:tc>
          <w:tcPr>
            <w:tcW w:type="dxa" w:w="2304"/>
            <w:vAlign w:val="top"/>
          </w:tcPr>
          <w:p>
            <w:r>
              <w:rPr>
                <w:sz w:val="14"/>
              </w:rPr>
              <w:t>Opex 3 ans</w:t>
            </w:r>
          </w:p>
        </w:tc>
        <w:tc>
          <w:tcPr>
            <w:tcW w:type="dxa" w:w="5184"/>
            <w:vAlign w:val="top"/>
          </w:tcPr>
          <w:p>
            <w:r>
              <w:rPr>
                <w:sz w:val="14"/>
              </w:rPr>
              <w:t>Opex annuel x 3</w:t>
            </w:r>
          </w:p>
        </w:tc>
        <w:tc>
          <w:tcPr>
            <w:tcW w:type="dxa" w:w="2016"/>
            <w:vAlign w:val="top"/>
          </w:tcPr>
          <w:p>
            <w:r>
              <w:rPr>
                <w:sz w:val="14"/>
              </w:rPr>
              <w:t>__________ MAD</w:t>
            </w:r>
          </w:p>
        </w:tc>
      </w:tr>
      <w:tr>
        <w:tc>
          <w:tcPr>
            <w:tcW w:type="dxa" w:w="2304"/>
            <w:vAlign w:val="top"/>
          </w:tcPr>
          <w:p>
            <w:r>
              <w:rPr>
                <w:sz w:val="14"/>
              </w:rPr>
              <w:t>TCO 3 ans</w:t>
            </w:r>
          </w:p>
        </w:tc>
        <w:tc>
          <w:tcPr>
            <w:tcW w:type="dxa" w:w="5184"/>
            <w:vAlign w:val="top"/>
          </w:tcPr>
          <w:p>
            <w:r>
              <w:rPr>
                <w:sz w:val="14"/>
              </w:rPr>
              <w:t>Investissement initial + Opex 3 ans</w:t>
            </w:r>
          </w:p>
        </w:tc>
        <w:tc>
          <w:tcPr>
            <w:tcW w:type="dxa" w:w="2016"/>
            <w:vAlign w:val="top"/>
          </w:tcPr>
          <w:p>
            <w:r>
              <w:rPr>
                <w:sz w:val="14"/>
              </w:rPr>
              <w:t>__________ MAD</w:t>
            </w:r>
          </w:p>
        </w:tc>
      </w:tr>
    </w:tbl>
    <w:p>
      <w:pPr>
        <w:pStyle w:val="Heading1"/>
      </w:pPr>
      <w:r>
        <w:t>3. Gains financiers et ROI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2304"/>
            <w:shd w:fill="FF004A"/>
          </w:tcPr>
          <w:p>
            <w:r>
              <w:rPr>
                <w:b/>
                <w:sz w:val="15"/>
              </w:rPr>
              <w:t>Gain</w:t>
            </w:r>
          </w:p>
        </w:tc>
        <w:tc>
          <w:tcPr>
            <w:tcW w:type="dxa" w:w="5040"/>
            <w:shd w:fill="FF004A"/>
          </w:tcPr>
          <w:p>
            <w:r>
              <w:rPr>
                <w:b/>
                <w:sz w:val="15"/>
              </w:rPr>
              <w:t>Mode de calcul</w:t>
            </w:r>
          </w:p>
        </w:tc>
        <w:tc>
          <w:tcPr>
            <w:tcW w:type="dxa" w:w="2160"/>
            <w:shd w:fill="FF004A"/>
          </w:tcPr>
          <w:p>
            <w:r>
              <w:rPr>
                <w:b/>
                <w:sz w:val="15"/>
              </w:rPr>
              <w:t>Montant annuel</w:t>
            </w:r>
          </w:p>
        </w:tc>
      </w:tr>
      <w:tr>
        <w:tc>
          <w:tcPr>
            <w:tcW w:type="dxa" w:w="2304"/>
            <w:vAlign w:val="top"/>
          </w:tcPr>
          <w:p>
            <w:r>
              <w:rPr>
                <w:sz w:val="14"/>
              </w:rPr>
              <w:t>Anciens outils supprimés</w:t>
            </w:r>
          </w:p>
        </w:tc>
        <w:tc>
          <w:tcPr>
            <w:tcW w:type="dxa" w:w="5040"/>
            <w:vAlign w:val="top"/>
          </w:tcPr>
          <w:p>
            <w:r>
              <w:rPr>
                <w:sz w:val="14"/>
              </w:rPr>
              <w:t>Maintenance, licences, serveurs, papier</w:t>
            </w:r>
          </w:p>
        </w:tc>
        <w:tc>
          <w:tcPr>
            <w:tcW w:type="dxa" w:w="2160"/>
            <w:vAlign w:val="top"/>
          </w:tcPr>
          <w:p>
            <w:r>
              <w:rPr>
                <w:sz w:val="14"/>
              </w:rPr>
              <w:t>__________ MAD</w:t>
            </w:r>
          </w:p>
        </w:tc>
      </w:tr>
      <w:tr>
        <w:tc>
          <w:tcPr>
            <w:tcW w:type="dxa" w:w="2304"/>
            <w:vAlign w:val="top"/>
          </w:tcPr>
          <w:p>
            <w:r>
              <w:rPr>
                <w:sz w:val="14"/>
              </w:rPr>
              <w:t>Temps RH gagné</w:t>
            </w:r>
          </w:p>
        </w:tc>
        <w:tc>
          <w:tcPr>
            <w:tcW w:type="dxa" w:w="5040"/>
            <w:vAlign w:val="top"/>
          </w:tcPr>
          <w:p>
            <w:r>
              <w:rPr>
                <w:sz w:val="14"/>
              </w:rPr>
              <w:t>Heures/an x coût horaire x facteur de prudence</w:t>
            </w:r>
          </w:p>
        </w:tc>
        <w:tc>
          <w:tcPr>
            <w:tcW w:type="dxa" w:w="2160"/>
            <w:vAlign w:val="top"/>
          </w:tcPr>
          <w:p>
            <w:r>
              <w:rPr>
                <w:sz w:val="14"/>
              </w:rPr>
              <w:t>__________ MAD</w:t>
            </w:r>
          </w:p>
        </w:tc>
      </w:tr>
      <w:tr>
        <w:tc>
          <w:tcPr>
            <w:tcW w:type="dxa" w:w="2304"/>
            <w:vAlign w:val="top"/>
          </w:tcPr>
          <w:p>
            <w:r>
              <w:rPr>
                <w:sz w:val="14"/>
              </w:rPr>
              <w:t>Temps managers gagné</w:t>
            </w:r>
          </w:p>
        </w:tc>
        <w:tc>
          <w:tcPr>
            <w:tcW w:type="dxa" w:w="5040"/>
            <w:vAlign w:val="top"/>
          </w:tcPr>
          <w:p>
            <w:r>
              <w:rPr>
                <w:sz w:val="14"/>
              </w:rPr>
              <w:t>Heures/an x coût horaire x facteur de prudence</w:t>
            </w:r>
          </w:p>
        </w:tc>
        <w:tc>
          <w:tcPr>
            <w:tcW w:type="dxa" w:w="2160"/>
            <w:vAlign w:val="top"/>
          </w:tcPr>
          <w:p>
            <w:r>
              <w:rPr>
                <w:sz w:val="14"/>
              </w:rPr>
              <w:t>__________ MAD</w:t>
            </w:r>
          </w:p>
        </w:tc>
      </w:tr>
      <w:tr>
        <w:tc>
          <w:tcPr>
            <w:tcW w:type="dxa" w:w="2304"/>
            <w:vAlign w:val="top"/>
          </w:tcPr>
          <w:p>
            <w:r>
              <w:rPr>
                <w:sz w:val="14"/>
              </w:rPr>
              <w:t>Erreurs et pénalités évitées</w:t>
            </w:r>
          </w:p>
        </w:tc>
        <w:tc>
          <w:tcPr>
            <w:tcW w:type="dxa" w:w="5040"/>
            <w:vAlign w:val="top"/>
          </w:tcPr>
          <w:p>
            <w:r>
              <w:rPr>
                <w:sz w:val="14"/>
              </w:rPr>
              <w:t>Historique incidents x coût moyen</w:t>
            </w:r>
          </w:p>
        </w:tc>
        <w:tc>
          <w:tcPr>
            <w:tcW w:type="dxa" w:w="2160"/>
            <w:vAlign w:val="top"/>
          </w:tcPr>
          <w:p>
            <w:r>
              <w:rPr>
                <w:sz w:val="14"/>
              </w:rPr>
              <w:t>__________ MAD</w:t>
            </w:r>
          </w:p>
        </w:tc>
      </w:tr>
      <w:tr>
        <w:tc>
          <w:tcPr>
            <w:tcW w:type="dxa" w:w="2304"/>
            <w:vAlign w:val="top"/>
          </w:tcPr>
          <w:p>
            <w:r>
              <w:rPr>
                <w:sz w:val="14"/>
              </w:rPr>
              <w:t>Gains nets validés</w:t>
            </w:r>
          </w:p>
        </w:tc>
        <w:tc>
          <w:tcPr>
            <w:tcW w:type="dxa" w:w="5040"/>
            <w:vAlign w:val="top"/>
          </w:tcPr>
          <w:p>
            <w:r>
              <w:rPr>
                <w:sz w:val="14"/>
              </w:rPr>
              <w:t>Total gains bruts x facteur de prudence</w:t>
            </w:r>
          </w:p>
        </w:tc>
        <w:tc>
          <w:tcPr>
            <w:tcW w:type="dxa" w:w="2160"/>
            <w:vAlign w:val="top"/>
          </w:tcPr>
          <w:p>
            <w:r>
              <w:rPr>
                <w:sz w:val="14"/>
              </w:rPr>
              <w:t>__________ MAD</w:t>
            </w:r>
          </w:p>
        </w:tc>
      </w:tr>
    </w:tbl>
    <w:p>
      <w:pPr>
        <w:pStyle w:val="Heading1"/>
      </w:pPr>
      <w:r>
        <w:t>4. Résultats à présenter au CODIR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2592"/>
            <w:shd w:fill="FF004A"/>
          </w:tcPr>
          <w:p>
            <w:r>
              <w:rPr>
                <w:b/>
                <w:sz w:val="15"/>
              </w:rPr>
              <w:t>Indicateur</w:t>
            </w:r>
          </w:p>
        </w:tc>
        <w:tc>
          <w:tcPr>
            <w:tcW w:type="dxa" w:w="4752"/>
            <w:shd w:fill="FF004A"/>
          </w:tcPr>
          <w:p>
            <w:r>
              <w:rPr>
                <w:b/>
                <w:sz w:val="15"/>
              </w:rPr>
              <w:t>Formule</w:t>
            </w:r>
          </w:p>
        </w:tc>
        <w:tc>
          <w:tcPr>
            <w:tcW w:type="dxa" w:w="1872"/>
            <w:shd w:fill="FF004A"/>
          </w:tcPr>
          <w:p>
            <w:r>
              <w:rPr>
                <w:b/>
                <w:sz w:val="15"/>
              </w:rPr>
              <w:t>Résultat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sz w:val="14"/>
              </w:rPr>
              <w:t>Gain net sur 3 ans</w:t>
            </w:r>
          </w:p>
        </w:tc>
        <w:tc>
          <w:tcPr>
            <w:tcW w:type="dxa" w:w="4752"/>
            <w:vAlign w:val="top"/>
          </w:tcPr>
          <w:p>
            <w:r>
              <w:rPr>
                <w:sz w:val="14"/>
              </w:rPr>
              <w:t>Gains cumulés - TCO 3 ans</w:t>
            </w:r>
          </w:p>
        </w:tc>
        <w:tc>
          <w:tcPr>
            <w:tcW w:type="dxa" w:w="1872"/>
            <w:vAlign w:val="top"/>
          </w:tcPr>
          <w:p>
            <w:r>
              <w:rPr>
                <w:sz w:val="14"/>
              </w:rPr>
              <w:t>__________ MAD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sz w:val="14"/>
              </w:rPr>
              <w:t>Payback</w:t>
            </w:r>
          </w:p>
        </w:tc>
        <w:tc>
          <w:tcPr>
            <w:tcW w:type="dxa" w:w="4752"/>
            <w:vAlign w:val="top"/>
          </w:tcPr>
          <w:p>
            <w:r>
              <w:rPr>
                <w:sz w:val="14"/>
              </w:rPr>
              <w:t>Investissement initial / gains nets annuels x 12</w:t>
            </w:r>
          </w:p>
        </w:tc>
        <w:tc>
          <w:tcPr>
            <w:tcW w:type="dxa" w:w="1872"/>
            <w:vAlign w:val="top"/>
          </w:tcPr>
          <w:p>
            <w:r>
              <w:rPr>
                <w:sz w:val="14"/>
              </w:rPr>
              <w:t>__________ mois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sz w:val="14"/>
              </w:rPr>
              <w:t>ROI 3 ans</w:t>
            </w:r>
          </w:p>
        </w:tc>
        <w:tc>
          <w:tcPr>
            <w:tcW w:type="dxa" w:w="4752"/>
            <w:vAlign w:val="top"/>
          </w:tcPr>
          <w:p>
            <w:r>
              <w:rPr>
                <w:sz w:val="14"/>
              </w:rPr>
              <w:t>(Gains cumulés - TCO) / TCO x 100</w:t>
            </w:r>
          </w:p>
        </w:tc>
        <w:tc>
          <w:tcPr>
            <w:tcW w:type="dxa" w:w="1872"/>
            <w:vAlign w:val="top"/>
          </w:tcPr>
          <w:p>
            <w:r>
              <w:rPr>
                <w:sz w:val="14"/>
              </w:rPr>
              <w:t>__________ %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sz w:val="14"/>
              </w:rPr>
              <w:t>Cible de validation</w:t>
            </w:r>
          </w:p>
        </w:tc>
        <w:tc>
          <w:tcPr>
            <w:tcW w:type="dxa" w:w="4752"/>
            <w:vAlign w:val="top"/>
          </w:tcPr>
          <w:p>
            <w:r>
              <w:rPr>
                <w:sz w:val="14"/>
              </w:rPr>
              <w:t>Payback inférieur à 30 mois + adoption mesurée</w:t>
            </w:r>
          </w:p>
        </w:tc>
        <w:tc>
          <w:tcPr>
            <w:tcW w:type="dxa" w:w="1872"/>
            <w:vAlign w:val="top"/>
          </w:tcPr>
          <w:p>
            <w:r>
              <w:rPr>
                <w:sz w:val="14"/>
              </w:rPr>
              <w:t>Oui / Non</w:t>
            </w:r>
          </w:p>
        </w:tc>
      </w:tr>
    </w:tbl>
    <w:sectPr w:rsidR="00FC693F" w:rsidRPr="0006063C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