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FF004A"/>
          <w:sz w:val="36"/>
        </w:rPr>
        <w:t>Fiche Outil 2 – Calculateur du coût du turnover précoce et ROI onboarding</w:t>
      </w:r>
    </w:p>
    <w:p>
      <w:r>
        <w:rPr>
          <w:rFonts w:ascii="Arial" w:hAnsi="Arial"/>
          <w:sz w:val="18"/>
        </w:rPr>
        <w:t>Objectif : chiffrer les pertes liées aux ruptures précoces et justifier le budget d’un programme d’intégration structuré.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884"/>
        <w:gridCol w:w="3884"/>
        <w:gridCol w:w="3884"/>
        <w:gridCol w:w="3884"/>
      </w:tblGrid>
      <w:tr>
        <w:tc>
          <w:tcPr>
            <w:tcW w:type="dxa" w:w="3884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Bloc</w:t>
            </w:r>
          </w:p>
        </w:tc>
        <w:tc>
          <w:tcPr>
            <w:tcW w:type="dxa" w:w="3884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Variable à renseigner</w:t>
            </w:r>
          </w:p>
        </w:tc>
        <w:tc>
          <w:tcPr>
            <w:tcW w:type="dxa" w:w="3884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Formule / méthode</w:t>
            </w:r>
          </w:p>
        </w:tc>
        <w:tc>
          <w:tcPr>
            <w:tcW w:type="dxa" w:w="3884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Montant MAD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Coût chargé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Salaire brut mensuel × coefficient chargé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A = salaire brut × 1,35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Présence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Mois de présence avant départ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B = nombre de mois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Acquisition perdue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Cost-per-Hire initial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Cabinets + annonces + temps TA + managers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Sous-productivité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Salaire chargé versé × perte de productivité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A × B × (1 - productivité moyenne)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Temps interne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Manager, équipe, formateurs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Heures × coût horaire chargé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Ré-embauche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Second recrutement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Nouveau CPH + coût de vacance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Coût total échec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Addition des coûts précédents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Somme des lignes 3 à 6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Budget onboarding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Outils, kits, événements, buddies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C = budget annuel programme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Gains attendus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Échecs évités × coût d’un échec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D = économie brute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</w:t>
            </w:r>
          </w:p>
        </w:tc>
      </w:tr>
      <w:tr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ROI onboarding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Gain net / budget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[(D - C) / C] × 100</w:t>
            </w:r>
          </w:p>
        </w:tc>
        <w:tc>
          <w:tcPr>
            <w:tcW w:type="dxa" w:w="3884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________ %</w:t>
            </w:r>
          </w:p>
        </w:tc>
      </w:tr>
    </w:tbl>
    <w:p>
      <w:r>
        <w:t>Seuil de lecture : le programme devient prioritaire lorsque le coût des ruptures précoces évitées dépasse clairement le budget annuel onboarding.</w:t>
      </w:r>
    </w:p>
    <w:sectPr w:rsidR="00FC693F" w:rsidRPr="0006063C" w:rsidSect="00034616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