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FF004A"/>
          <w:sz w:val="28"/>
        </w:rPr>
        <w:t>Fiche outil - Charte SLA recrutement RH / managers</w:t>
      </w:r>
    </w:p>
    <w:p>
      <w:pPr>
        <w:jc w:val="center"/>
      </w:pPr>
      <w:r>
        <w:t>Formaliser les engagements réciproques pour fluidifier le processus de recrutement et réduire les pertes de candidats.</w:t>
      </w:r>
    </w:p>
    <w:p>
      <w:r>
        <w:rPr>
          <w:b/>
          <w:color w:val="FF004A"/>
          <w:sz w:val="20"/>
        </w:rPr>
        <w:t>1. Engagements de l’équipe Talent Acquisition</w:t>
      </w:r>
    </w:p>
    <w:tbl>
      <w:tblPr>
        <w:tblStyle w:val="TableGrid"/>
        <w:tblW w:type="auto" w:w="0"/>
        <w:jc w:val="center"/>
        <w:tblLook w:firstColumn="1" w:firstRow="1" w:lastColumn="0" w:lastRow="0" w:noHBand="0" w:noVBand="1" w:val="04A0"/>
      </w:tblPr>
      <w:tblGrid>
        <w:gridCol w:w="2736"/>
        <w:gridCol w:w="2736"/>
        <w:gridCol w:w="2736"/>
        <w:gridCol w:w="2736"/>
      </w:tblGrid>
      <w:tr>
        <w:tc>
          <w:tcPr>
            <w:tcW w:type="dxa" w:w="2736"/>
            <w:vAlign w:val="center"/>
            <w:shd w:fill="FF004A"/>
          </w:tcPr>
          <w:p>
            <w:pPr>
              <w:jc w:val="left"/>
            </w:pPr>
            <w:r/>
            <w:r>
              <w:rPr>
                <w:b/>
                <w:color w:val="FFFFFF"/>
                <w:sz w:val="14"/>
              </w:rPr>
              <w:t>Étape</w:t>
            </w:r>
          </w:p>
        </w:tc>
        <w:tc>
          <w:tcPr>
            <w:tcW w:type="dxa" w:w="2736"/>
            <w:vAlign w:val="center"/>
            <w:shd w:fill="FF004A"/>
          </w:tcPr>
          <w:p>
            <w:pPr>
              <w:jc w:val="left"/>
            </w:pPr>
            <w:r/>
            <w:r>
              <w:rPr>
                <w:b/>
                <w:color w:val="FFFFFF"/>
                <w:sz w:val="14"/>
              </w:rPr>
              <w:t>Engagement RH</w:t>
            </w:r>
          </w:p>
        </w:tc>
        <w:tc>
          <w:tcPr>
            <w:tcW w:type="dxa" w:w="2736"/>
            <w:vAlign w:val="center"/>
            <w:shd w:fill="FF004A"/>
          </w:tcPr>
          <w:p>
            <w:pPr>
              <w:jc w:val="left"/>
            </w:pPr>
            <w:r/>
            <w:r>
              <w:rPr>
                <w:b/>
                <w:color w:val="FFFFFF"/>
                <w:sz w:val="14"/>
              </w:rPr>
              <w:t>Délai cible</w:t>
            </w:r>
          </w:p>
        </w:tc>
        <w:tc>
          <w:tcPr>
            <w:tcW w:type="dxa" w:w="2736"/>
            <w:vAlign w:val="center"/>
            <w:shd w:fill="FF004A"/>
          </w:tcPr>
          <w:p>
            <w:pPr>
              <w:jc w:val="left"/>
            </w:pPr>
            <w:r/>
            <w:r>
              <w:rPr>
                <w:b/>
                <w:color w:val="FFFFFF"/>
                <w:sz w:val="14"/>
              </w:rPr>
              <w:t>Preuve attendue</w:t>
            </w:r>
          </w:p>
        </w:tc>
      </w:tr>
      <w:tr>
        <w:tc>
          <w:tcPr>
            <w:tcW w:type="dxa" w:w="2736"/>
            <w:vAlign w:val="center"/>
          </w:tcPr>
          <w:p>
            <w:pPr>
              <w:jc w:val="left"/>
            </w:pPr>
            <w:r/>
            <w:r>
              <w:rPr>
                <w:b w:val="0"/>
                <w:color w:val="000000"/>
                <w:sz w:val="14"/>
              </w:rPr>
              <w:t>Cadrage du besoin</w:t>
            </w:r>
          </w:p>
        </w:tc>
        <w:tc>
          <w:tcPr>
            <w:tcW w:type="dxa" w:w="2736"/>
            <w:vAlign w:val="center"/>
          </w:tcPr>
          <w:p>
            <w:pPr>
              <w:jc w:val="left"/>
            </w:pPr>
            <w:r/>
            <w:r>
              <w:rPr>
                <w:b w:val="0"/>
                <w:color w:val="000000"/>
                <w:sz w:val="14"/>
              </w:rPr>
              <w:t>Entretien avec le manager et validation du besoin</w:t>
            </w:r>
          </w:p>
        </w:tc>
        <w:tc>
          <w:tcPr>
            <w:tcW w:type="dxa" w:w="2736"/>
            <w:vAlign w:val="center"/>
          </w:tcPr>
          <w:p>
            <w:pPr>
              <w:jc w:val="left"/>
            </w:pPr>
            <w:r/>
            <w:r>
              <w:rPr>
                <w:b w:val="0"/>
                <w:color w:val="000000"/>
                <w:sz w:val="14"/>
              </w:rPr>
              <w:t>48h ouvrées</w:t>
            </w:r>
          </w:p>
        </w:tc>
        <w:tc>
          <w:tcPr>
            <w:tcW w:type="dxa" w:w="2736"/>
            <w:vAlign w:val="center"/>
          </w:tcPr>
          <w:p>
            <w:pPr>
              <w:jc w:val="left"/>
            </w:pPr>
            <w:r/>
            <w:r>
              <w:rPr>
                <w:b w:val="0"/>
                <w:color w:val="000000"/>
                <w:sz w:val="14"/>
              </w:rPr>
              <w:t>Fiche de poste validée</w:t>
            </w:r>
          </w:p>
        </w:tc>
      </w:tr>
      <w:tr>
        <w:tc>
          <w:tcPr>
            <w:tcW w:type="dxa" w:w="2736"/>
            <w:vAlign w:val="center"/>
          </w:tcPr>
          <w:p>
            <w:pPr>
              <w:jc w:val="left"/>
            </w:pPr>
            <w:r/>
            <w:r>
              <w:rPr>
                <w:b w:val="0"/>
                <w:color w:val="000000"/>
                <w:sz w:val="14"/>
              </w:rPr>
              <w:t>Publication annonce</w:t>
            </w:r>
          </w:p>
        </w:tc>
        <w:tc>
          <w:tcPr>
            <w:tcW w:type="dxa" w:w="2736"/>
            <w:vAlign w:val="center"/>
          </w:tcPr>
          <w:p>
            <w:pPr>
              <w:jc w:val="left"/>
            </w:pPr>
            <w:r/>
            <w:r>
              <w:rPr>
                <w:b w:val="0"/>
                <w:color w:val="000000"/>
                <w:sz w:val="14"/>
              </w:rPr>
              <w:t>Diffusion sur les canaux cibles</w:t>
            </w:r>
          </w:p>
        </w:tc>
        <w:tc>
          <w:tcPr>
            <w:tcW w:type="dxa" w:w="2736"/>
            <w:vAlign w:val="center"/>
          </w:tcPr>
          <w:p>
            <w:pPr>
              <w:jc w:val="left"/>
            </w:pPr>
            <w:r/>
            <w:r>
              <w:rPr>
                <w:b w:val="0"/>
                <w:color w:val="000000"/>
                <w:sz w:val="14"/>
              </w:rPr>
              <w:t>24h après validation</w:t>
            </w:r>
          </w:p>
        </w:tc>
        <w:tc>
          <w:tcPr>
            <w:tcW w:type="dxa" w:w="2736"/>
            <w:vAlign w:val="center"/>
          </w:tcPr>
          <w:p>
            <w:pPr>
              <w:jc w:val="left"/>
            </w:pPr>
            <w:r/>
            <w:r>
              <w:rPr>
                <w:b w:val="0"/>
                <w:color w:val="000000"/>
                <w:sz w:val="14"/>
              </w:rPr>
              <w:t>Annonce publiée / lien ATS</w:t>
            </w:r>
          </w:p>
        </w:tc>
      </w:tr>
      <w:tr>
        <w:tc>
          <w:tcPr>
            <w:tcW w:type="dxa" w:w="2736"/>
            <w:vAlign w:val="center"/>
          </w:tcPr>
          <w:p>
            <w:pPr>
              <w:jc w:val="left"/>
            </w:pPr>
            <w:r/>
            <w:r>
              <w:rPr>
                <w:b w:val="0"/>
                <w:color w:val="000000"/>
                <w:sz w:val="14"/>
              </w:rPr>
              <w:t>Sourcing et shortlist</w:t>
            </w:r>
          </w:p>
        </w:tc>
        <w:tc>
          <w:tcPr>
            <w:tcW w:type="dxa" w:w="2736"/>
            <w:vAlign w:val="center"/>
          </w:tcPr>
          <w:p>
            <w:pPr>
              <w:jc w:val="left"/>
            </w:pPr>
            <w:r/>
            <w:r>
              <w:rPr>
                <w:b w:val="0"/>
                <w:color w:val="000000"/>
                <w:sz w:val="14"/>
              </w:rPr>
              <w:t>Présentation de 3 à 5 candidats qualifiés</w:t>
            </w:r>
          </w:p>
        </w:tc>
        <w:tc>
          <w:tcPr>
            <w:tcW w:type="dxa" w:w="2736"/>
            <w:vAlign w:val="center"/>
          </w:tcPr>
          <w:p>
            <w:pPr>
              <w:jc w:val="left"/>
            </w:pPr>
            <w:r/>
            <w:r>
              <w:rPr>
                <w:b w:val="0"/>
                <w:color w:val="000000"/>
                <w:sz w:val="14"/>
              </w:rPr>
              <w:t>10 à 15 jours ouvrés</w:t>
            </w:r>
          </w:p>
        </w:tc>
        <w:tc>
          <w:tcPr>
            <w:tcW w:type="dxa" w:w="2736"/>
            <w:vAlign w:val="center"/>
          </w:tcPr>
          <w:p>
            <w:pPr>
              <w:jc w:val="left"/>
            </w:pPr>
            <w:r/>
            <w:r>
              <w:rPr>
                <w:b w:val="0"/>
                <w:color w:val="000000"/>
                <w:sz w:val="14"/>
              </w:rPr>
              <w:t>Shortlist documentée</w:t>
            </w:r>
          </w:p>
        </w:tc>
      </w:tr>
      <w:tr>
        <w:tc>
          <w:tcPr>
            <w:tcW w:type="dxa" w:w="2736"/>
            <w:vAlign w:val="center"/>
          </w:tcPr>
          <w:p>
            <w:pPr>
              <w:jc w:val="left"/>
            </w:pPr>
            <w:r/>
            <w:r>
              <w:rPr>
                <w:b w:val="0"/>
                <w:color w:val="000000"/>
                <w:sz w:val="14"/>
              </w:rPr>
              <w:t>Offre candidat</w:t>
            </w:r>
          </w:p>
        </w:tc>
        <w:tc>
          <w:tcPr>
            <w:tcW w:type="dxa" w:w="2736"/>
            <w:vAlign w:val="center"/>
          </w:tcPr>
          <w:p>
            <w:pPr>
              <w:jc w:val="left"/>
            </w:pPr>
            <w:r/>
            <w:r>
              <w:rPr>
                <w:b w:val="0"/>
                <w:color w:val="000000"/>
                <w:sz w:val="14"/>
              </w:rPr>
              <w:t>Émission de la promesse d’embauche</w:t>
            </w:r>
          </w:p>
        </w:tc>
        <w:tc>
          <w:tcPr>
            <w:tcW w:type="dxa" w:w="2736"/>
            <w:vAlign w:val="center"/>
          </w:tcPr>
          <w:p>
            <w:pPr>
              <w:jc w:val="left"/>
            </w:pPr>
            <w:r/>
            <w:r>
              <w:rPr>
                <w:b w:val="0"/>
                <w:color w:val="000000"/>
                <w:sz w:val="14"/>
              </w:rPr>
              <w:t>24h après décision</w:t>
            </w:r>
          </w:p>
        </w:tc>
        <w:tc>
          <w:tcPr>
            <w:tcW w:type="dxa" w:w="2736"/>
            <w:vAlign w:val="center"/>
          </w:tcPr>
          <w:p>
            <w:pPr>
              <w:jc w:val="left"/>
            </w:pPr>
            <w:r/>
            <w:r>
              <w:rPr>
                <w:b w:val="0"/>
                <w:color w:val="000000"/>
                <w:sz w:val="14"/>
              </w:rPr>
              <w:t>Offre écrite envoyée</w:t>
            </w:r>
          </w:p>
        </w:tc>
      </w:tr>
    </w:tbl>
    <w:p/>
    <w:p>
      <w:r>
        <w:rPr>
          <w:b/>
          <w:color w:val="FF004A"/>
          <w:sz w:val="20"/>
        </w:rPr>
        <w:t>2. Engagements des managers recruteurs</w:t>
      </w:r>
    </w:p>
    <w:tbl>
      <w:tblPr>
        <w:tblStyle w:val="TableGrid"/>
        <w:tblW w:type="auto" w:w="0"/>
        <w:jc w:val="center"/>
        <w:tblLook w:firstColumn="1" w:firstRow="1" w:lastColumn="0" w:lastRow="0" w:noHBand="0" w:noVBand="1" w:val="04A0"/>
      </w:tblPr>
      <w:tblGrid>
        <w:gridCol w:w="2736"/>
        <w:gridCol w:w="2736"/>
        <w:gridCol w:w="2736"/>
        <w:gridCol w:w="2736"/>
      </w:tblGrid>
      <w:tr>
        <w:tc>
          <w:tcPr>
            <w:tcW w:type="dxa" w:w="2736"/>
            <w:vAlign w:val="center"/>
            <w:shd w:fill="FF004A"/>
          </w:tcPr>
          <w:p>
            <w:pPr>
              <w:jc w:val="left"/>
            </w:pPr>
            <w:r/>
            <w:r>
              <w:rPr>
                <w:b/>
                <w:color w:val="FFFFFF"/>
                <w:sz w:val="14"/>
              </w:rPr>
              <w:t>Étape</w:t>
            </w:r>
          </w:p>
        </w:tc>
        <w:tc>
          <w:tcPr>
            <w:tcW w:type="dxa" w:w="2736"/>
            <w:vAlign w:val="center"/>
            <w:shd w:fill="FF004A"/>
          </w:tcPr>
          <w:p>
            <w:pPr>
              <w:jc w:val="left"/>
            </w:pPr>
            <w:r/>
            <w:r>
              <w:rPr>
                <w:b/>
                <w:color w:val="FFFFFF"/>
                <w:sz w:val="14"/>
              </w:rPr>
              <w:t>Engagement manager</w:t>
            </w:r>
          </w:p>
        </w:tc>
        <w:tc>
          <w:tcPr>
            <w:tcW w:type="dxa" w:w="2736"/>
            <w:vAlign w:val="center"/>
            <w:shd w:fill="FF004A"/>
          </w:tcPr>
          <w:p>
            <w:pPr>
              <w:jc w:val="left"/>
            </w:pPr>
            <w:r/>
            <w:r>
              <w:rPr>
                <w:b/>
                <w:color w:val="FFFFFF"/>
                <w:sz w:val="14"/>
              </w:rPr>
              <w:t>Délai cible</w:t>
            </w:r>
          </w:p>
        </w:tc>
        <w:tc>
          <w:tcPr>
            <w:tcW w:type="dxa" w:w="2736"/>
            <w:vAlign w:val="center"/>
            <w:shd w:fill="FF004A"/>
          </w:tcPr>
          <w:p>
            <w:pPr>
              <w:jc w:val="left"/>
            </w:pPr>
            <w:r/>
            <w:r>
              <w:rPr>
                <w:b/>
                <w:color w:val="FFFFFF"/>
                <w:sz w:val="14"/>
              </w:rPr>
              <w:t>Risque en cas de retard</w:t>
            </w:r>
          </w:p>
        </w:tc>
      </w:tr>
      <w:tr>
        <w:tc>
          <w:tcPr>
            <w:tcW w:type="dxa" w:w="2736"/>
            <w:vAlign w:val="center"/>
          </w:tcPr>
          <w:p>
            <w:pPr>
              <w:jc w:val="left"/>
            </w:pPr>
            <w:r/>
            <w:r>
              <w:rPr>
                <w:b w:val="0"/>
                <w:color w:val="000000"/>
                <w:sz w:val="14"/>
              </w:rPr>
              <w:t>Validation des CV</w:t>
            </w:r>
          </w:p>
        </w:tc>
        <w:tc>
          <w:tcPr>
            <w:tcW w:type="dxa" w:w="2736"/>
            <w:vAlign w:val="center"/>
          </w:tcPr>
          <w:p>
            <w:pPr>
              <w:jc w:val="left"/>
            </w:pPr>
            <w:r/>
            <w:r>
              <w:rPr>
                <w:b w:val="0"/>
                <w:color w:val="000000"/>
                <w:sz w:val="14"/>
              </w:rPr>
              <w:t>Retour sur les profils transmis</w:t>
            </w:r>
          </w:p>
        </w:tc>
        <w:tc>
          <w:tcPr>
            <w:tcW w:type="dxa" w:w="2736"/>
            <w:vAlign w:val="center"/>
          </w:tcPr>
          <w:p>
            <w:pPr>
              <w:jc w:val="left"/>
            </w:pPr>
            <w:r/>
            <w:r>
              <w:rPr>
                <w:b w:val="0"/>
                <w:color w:val="000000"/>
                <w:sz w:val="14"/>
              </w:rPr>
              <w:t>48h</w:t>
            </w:r>
          </w:p>
        </w:tc>
        <w:tc>
          <w:tcPr>
            <w:tcW w:type="dxa" w:w="2736"/>
            <w:vAlign w:val="center"/>
          </w:tcPr>
          <w:p>
            <w:pPr>
              <w:jc w:val="left"/>
            </w:pPr>
            <w:r/>
            <w:r>
              <w:rPr>
                <w:b w:val="0"/>
                <w:color w:val="000000"/>
                <w:sz w:val="14"/>
              </w:rPr>
              <w:t>Perte des meilleurs candidats</w:t>
            </w:r>
          </w:p>
        </w:tc>
      </w:tr>
      <w:tr>
        <w:tc>
          <w:tcPr>
            <w:tcW w:type="dxa" w:w="2736"/>
            <w:vAlign w:val="center"/>
          </w:tcPr>
          <w:p>
            <w:pPr>
              <w:jc w:val="left"/>
            </w:pPr>
            <w:r/>
            <w:r>
              <w:rPr>
                <w:b w:val="0"/>
                <w:color w:val="000000"/>
                <w:sz w:val="14"/>
              </w:rPr>
              <w:t>Entretiens opérationnels</w:t>
            </w:r>
          </w:p>
        </w:tc>
        <w:tc>
          <w:tcPr>
            <w:tcW w:type="dxa" w:w="2736"/>
            <w:vAlign w:val="center"/>
          </w:tcPr>
          <w:p>
            <w:pPr>
              <w:jc w:val="left"/>
            </w:pPr>
            <w:r/>
            <w:r>
              <w:rPr>
                <w:b w:val="0"/>
                <w:color w:val="000000"/>
                <w:sz w:val="14"/>
              </w:rPr>
              <w:t>Créneaux bloqués rapidement</w:t>
            </w:r>
          </w:p>
        </w:tc>
        <w:tc>
          <w:tcPr>
            <w:tcW w:type="dxa" w:w="2736"/>
            <w:vAlign w:val="center"/>
          </w:tcPr>
          <w:p>
            <w:pPr>
              <w:jc w:val="left"/>
            </w:pPr>
            <w:r/>
            <w:r>
              <w:rPr>
                <w:b w:val="0"/>
                <w:color w:val="000000"/>
                <w:sz w:val="14"/>
              </w:rPr>
              <w:t>5 jours ouvrés</w:t>
            </w:r>
          </w:p>
        </w:tc>
        <w:tc>
          <w:tcPr>
            <w:tcW w:type="dxa" w:w="2736"/>
            <w:vAlign w:val="center"/>
          </w:tcPr>
          <w:p>
            <w:pPr>
              <w:jc w:val="left"/>
            </w:pPr>
            <w:r/>
            <w:r>
              <w:rPr>
                <w:b w:val="0"/>
                <w:color w:val="000000"/>
                <w:sz w:val="14"/>
              </w:rPr>
              <w:t>Allongement du time-to-fill</w:t>
            </w:r>
          </w:p>
        </w:tc>
      </w:tr>
      <w:tr>
        <w:tc>
          <w:tcPr>
            <w:tcW w:type="dxa" w:w="2736"/>
            <w:vAlign w:val="center"/>
          </w:tcPr>
          <w:p>
            <w:pPr>
              <w:jc w:val="left"/>
            </w:pPr>
            <w:r/>
            <w:r>
              <w:rPr>
                <w:b w:val="0"/>
                <w:color w:val="000000"/>
                <w:sz w:val="14"/>
              </w:rPr>
              <w:t>Décision finale</w:t>
            </w:r>
          </w:p>
        </w:tc>
        <w:tc>
          <w:tcPr>
            <w:tcW w:type="dxa" w:w="2736"/>
            <w:vAlign w:val="center"/>
          </w:tcPr>
          <w:p>
            <w:pPr>
              <w:jc w:val="left"/>
            </w:pPr>
            <w:r/>
            <w:r>
              <w:rPr>
                <w:b w:val="0"/>
                <w:color w:val="000000"/>
                <w:sz w:val="14"/>
              </w:rPr>
              <w:t>Compte-rendu et arbitrage</w:t>
            </w:r>
          </w:p>
        </w:tc>
        <w:tc>
          <w:tcPr>
            <w:tcW w:type="dxa" w:w="2736"/>
            <w:vAlign w:val="center"/>
          </w:tcPr>
          <w:p>
            <w:pPr>
              <w:jc w:val="left"/>
            </w:pPr>
            <w:r/>
            <w:r>
              <w:rPr>
                <w:b w:val="0"/>
                <w:color w:val="000000"/>
                <w:sz w:val="14"/>
              </w:rPr>
              <w:t>24 à 48h</w:t>
            </w:r>
          </w:p>
        </w:tc>
        <w:tc>
          <w:tcPr>
            <w:tcW w:type="dxa" w:w="2736"/>
            <w:vAlign w:val="center"/>
          </w:tcPr>
          <w:p>
            <w:pPr>
              <w:jc w:val="left"/>
            </w:pPr>
            <w:r/>
            <w:r>
              <w:rPr>
                <w:b w:val="0"/>
                <w:color w:val="000000"/>
                <w:sz w:val="14"/>
              </w:rPr>
              <w:t>Offre concurrente acceptée</w:t>
            </w:r>
          </w:p>
        </w:tc>
      </w:tr>
      <w:tr>
        <w:tc>
          <w:tcPr>
            <w:tcW w:type="dxa" w:w="2736"/>
            <w:vAlign w:val="center"/>
          </w:tcPr>
          <w:p>
            <w:pPr>
              <w:jc w:val="left"/>
            </w:pPr>
            <w:r/>
            <w:r>
              <w:rPr>
                <w:b w:val="0"/>
                <w:color w:val="000000"/>
                <w:sz w:val="14"/>
              </w:rPr>
              <w:t>Réquisition sans retour</w:t>
            </w:r>
          </w:p>
        </w:tc>
        <w:tc>
          <w:tcPr>
            <w:tcW w:type="dxa" w:w="2736"/>
            <w:vAlign w:val="center"/>
          </w:tcPr>
          <w:p>
            <w:pPr>
              <w:jc w:val="left"/>
            </w:pPr>
            <w:r/>
            <w:r>
              <w:rPr>
                <w:b w:val="0"/>
                <w:color w:val="000000"/>
                <w:sz w:val="14"/>
              </w:rPr>
              <w:t>Relances puis suspension</w:t>
            </w:r>
          </w:p>
        </w:tc>
        <w:tc>
          <w:tcPr>
            <w:tcW w:type="dxa" w:w="2736"/>
            <w:vAlign w:val="center"/>
          </w:tcPr>
          <w:p>
            <w:pPr>
              <w:jc w:val="left"/>
            </w:pPr>
            <w:r/>
            <w:r>
              <w:rPr>
                <w:b w:val="0"/>
                <w:color w:val="000000"/>
                <w:sz w:val="14"/>
              </w:rPr>
              <w:t>10 jours ouvrés</w:t>
            </w:r>
          </w:p>
        </w:tc>
        <w:tc>
          <w:tcPr>
            <w:tcW w:type="dxa" w:w="2736"/>
            <w:vAlign w:val="center"/>
          </w:tcPr>
          <w:p>
            <w:pPr>
              <w:jc w:val="left"/>
            </w:pPr>
            <w:r/>
            <w:r>
              <w:rPr>
                <w:b w:val="0"/>
                <w:color w:val="000000"/>
                <w:sz w:val="14"/>
              </w:rPr>
              <w:t>Ressources TA réaffectées</w:t>
            </w:r>
          </w:p>
        </w:tc>
      </w:tr>
    </w:tbl>
    <w:p/>
    <w:p>
      <w:r>
        <w:rPr>
          <w:b/>
          <w:color w:val="FF004A"/>
          <w:sz w:val="20"/>
        </w:rPr>
        <w:t>3. Tableau de bord mensuel</w:t>
      </w:r>
    </w:p>
    <w:tbl>
      <w:tblPr>
        <w:tblStyle w:val="TableGrid"/>
        <w:tblW w:type="auto" w:w="0"/>
        <w:jc w:val="center"/>
        <w:tblLook w:firstColumn="1" w:firstRow="1" w:lastColumn="0" w:lastRow="0" w:noHBand="0" w:noVBand="1" w:val="04A0"/>
      </w:tblPr>
      <w:tblGrid>
        <w:gridCol w:w="3648"/>
        <w:gridCol w:w="3648"/>
        <w:gridCol w:w="3648"/>
      </w:tblGrid>
      <w:tr>
        <w:tc>
          <w:tcPr>
            <w:tcW w:type="dxa" w:w="3648"/>
            <w:vAlign w:val="center"/>
            <w:shd w:fill="FF004A"/>
          </w:tcPr>
          <w:p>
            <w:pPr>
              <w:jc w:val="left"/>
            </w:pPr>
            <w:r/>
            <w:r>
              <w:rPr>
                <w:b/>
                <w:color w:val="FFFFFF"/>
                <w:sz w:val="14"/>
              </w:rPr>
              <w:t>KPI</w:t>
            </w:r>
          </w:p>
        </w:tc>
        <w:tc>
          <w:tcPr>
            <w:tcW w:type="dxa" w:w="3648"/>
            <w:vAlign w:val="center"/>
            <w:shd w:fill="FF004A"/>
          </w:tcPr>
          <w:p>
            <w:pPr>
              <w:jc w:val="left"/>
            </w:pPr>
            <w:r/>
            <w:r>
              <w:rPr>
                <w:b/>
                <w:color w:val="FFFFFF"/>
                <w:sz w:val="14"/>
              </w:rPr>
              <w:t>Mode de calcul</w:t>
            </w:r>
          </w:p>
        </w:tc>
        <w:tc>
          <w:tcPr>
            <w:tcW w:type="dxa" w:w="3648"/>
            <w:vAlign w:val="center"/>
            <w:shd w:fill="FF004A"/>
          </w:tcPr>
          <w:p>
            <w:pPr>
              <w:jc w:val="left"/>
            </w:pPr>
            <w:r/>
            <w:r>
              <w:rPr>
                <w:b/>
                <w:color w:val="FFFFFF"/>
                <w:sz w:val="14"/>
              </w:rPr>
              <w:t>Cible</w:t>
            </w:r>
          </w:p>
        </w:tc>
      </w:tr>
      <w:tr>
        <w:tc>
          <w:tcPr>
            <w:tcW w:type="dxa" w:w="3648"/>
            <w:vAlign w:val="center"/>
          </w:tcPr>
          <w:p>
            <w:pPr>
              <w:jc w:val="left"/>
            </w:pPr>
            <w:r/>
            <w:r>
              <w:rPr>
                <w:b w:val="0"/>
                <w:color w:val="000000"/>
                <w:sz w:val="14"/>
              </w:rPr>
              <w:t>Time-to-fill</w:t>
            </w:r>
          </w:p>
        </w:tc>
        <w:tc>
          <w:tcPr>
            <w:tcW w:type="dxa" w:w="3648"/>
            <w:vAlign w:val="center"/>
          </w:tcPr>
          <w:p>
            <w:pPr>
              <w:jc w:val="left"/>
            </w:pPr>
            <w:r/>
            <w:r>
              <w:rPr>
                <w:b w:val="0"/>
                <w:color w:val="000000"/>
                <w:sz w:val="14"/>
              </w:rPr>
              <w:t>Jours entre ouverture et acceptation offre</w:t>
            </w:r>
          </w:p>
        </w:tc>
        <w:tc>
          <w:tcPr>
            <w:tcW w:type="dxa" w:w="3648"/>
            <w:vAlign w:val="center"/>
          </w:tcPr>
          <w:p>
            <w:pPr>
              <w:jc w:val="left"/>
            </w:pPr>
            <w:r/>
            <w:r>
              <w:rPr>
                <w:b w:val="0"/>
                <w:color w:val="000000"/>
                <w:sz w:val="14"/>
              </w:rPr>
              <w:t>À définir par catégorie</w:t>
            </w:r>
          </w:p>
        </w:tc>
      </w:tr>
      <w:tr>
        <w:tc>
          <w:tcPr>
            <w:tcW w:type="dxa" w:w="3648"/>
            <w:vAlign w:val="center"/>
          </w:tcPr>
          <w:p>
            <w:pPr>
              <w:jc w:val="left"/>
            </w:pPr>
            <w:r/>
            <w:r>
              <w:rPr>
                <w:b w:val="0"/>
                <w:color w:val="000000"/>
                <w:sz w:val="14"/>
              </w:rPr>
              <w:t>Time-in-process manager</w:t>
            </w:r>
          </w:p>
        </w:tc>
        <w:tc>
          <w:tcPr>
            <w:tcW w:type="dxa" w:w="3648"/>
            <w:vAlign w:val="center"/>
          </w:tcPr>
          <w:p>
            <w:pPr>
              <w:jc w:val="left"/>
            </w:pPr>
            <w:r/>
            <w:r>
              <w:rPr>
                <w:b w:val="0"/>
                <w:color w:val="000000"/>
                <w:sz w:val="14"/>
              </w:rPr>
              <w:t>Jours passés en attente de retour manager</w:t>
            </w:r>
          </w:p>
        </w:tc>
        <w:tc>
          <w:tcPr>
            <w:tcW w:type="dxa" w:w="3648"/>
            <w:vAlign w:val="center"/>
          </w:tcPr>
          <w:p>
            <w:pPr>
              <w:jc w:val="left"/>
            </w:pPr>
            <w:r/>
            <w:r>
              <w:rPr>
                <w:b w:val="0"/>
                <w:color w:val="000000"/>
                <w:sz w:val="14"/>
              </w:rPr>
              <w:t>&lt; 48h sur CV / &lt; 5 jours entretiens</w:t>
            </w:r>
          </w:p>
        </w:tc>
      </w:tr>
      <w:tr>
        <w:tc>
          <w:tcPr>
            <w:tcW w:type="dxa" w:w="3648"/>
            <w:vAlign w:val="center"/>
          </w:tcPr>
          <w:p>
            <w:pPr>
              <w:jc w:val="left"/>
            </w:pPr>
            <w:r/>
            <w:r>
              <w:rPr>
                <w:b w:val="0"/>
                <w:color w:val="000000"/>
                <w:sz w:val="14"/>
              </w:rPr>
              <w:t>Taux de transformation shortlist</w:t>
            </w:r>
          </w:p>
        </w:tc>
        <w:tc>
          <w:tcPr>
            <w:tcW w:type="dxa" w:w="3648"/>
            <w:vAlign w:val="center"/>
          </w:tcPr>
          <w:p>
            <w:pPr>
              <w:jc w:val="left"/>
            </w:pPr>
            <w:r/>
            <w:r>
              <w:rPr>
                <w:b w:val="0"/>
                <w:color w:val="000000"/>
                <w:sz w:val="14"/>
              </w:rPr>
              <w:t>Candidats shortlistés / candidats embauchés</w:t>
            </w:r>
          </w:p>
        </w:tc>
        <w:tc>
          <w:tcPr>
            <w:tcW w:type="dxa" w:w="3648"/>
            <w:vAlign w:val="center"/>
          </w:tcPr>
          <w:p>
            <w:pPr>
              <w:jc w:val="left"/>
            </w:pPr>
            <w:r/>
            <w:r>
              <w:rPr>
                <w:b w:val="0"/>
                <w:color w:val="000000"/>
                <w:sz w:val="14"/>
              </w:rPr>
              <w:t>À suivre par métier</w:t>
            </w:r>
          </w:p>
        </w:tc>
      </w:tr>
      <w:tr>
        <w:tc>
          <w:tcPr>
            <w:tcW w:type="dxa" w:w="3648"/>
            <w:vAlign w:val="center"/>
          </w:tcPr>
          <w:p>
            <w:pPr>
              <w:jc w:val="left"/>
            </w:pPr>
            <w:r/>
            <w:r>
              <w:rPr>
                <w:b w:val="0"/>
                <w:color w:val="000000"/>
                <w:sz w:val="14"/>
              </w:rPr>
              <w:t>Taux de réquisition suspendue</w:t>
            </w:r>
          </w:p>
        </w:tc>
        <w:tc>
          <w:tcPr>
            <w:tcW w:type="dxa" w:w="3648"/>
            <w:vAlign w:val="center"/>
          </w:tcPr>
          <w:p>
            <w:pPr>
              <w:jc w:val="left"/>
            </w:pPr>
            <w:r/>
            <w:r>
              <w:rPr>
                <w:b w:val="0"/>
                <w:color w:val="000000"/>
                <w:sz w:val="14"/>
              </w:rPr>
              <w:t>Demandes fermées faute de retour / demandes ouvertes</w:t>
            </w:r>
          </w:p>
        </w:tc>
        <w:tc>
          <w:tcPr>
            <w:tcW w:type="dxa" w:w="3648"/>
            <w:vAlign w:val="center"/>
          </w:tcPr>
          <w:p>
            <w:pPr>
              <w:jc w:val="left"/>
            </w:pPr>
            <w:r/>
            <w:r>
              <w:rPr>
                <w:b w:val="0"/>
                <w:color w:val="000000"/>
                <w:sz w:val="14"/>
              </w:rPr>
              <w:t>À réduire trimestriellement</w:t>
            </w:r>
          </w:p>
        </w:tc>
      </w:tr>
    </w:tbl>
    <w:p/>
    <w:p>
      <w:r>
        <w:rPr>
          <w:b/>
          <w:color w:val="FF004A"/>
          <w:sz w:val="20"/>
        </w:rPr>
        <w:t>4. Clause de gouvernance</w:t>
      </w:r>
    </w:p>
    <w:p>
      <w:pPr>
        <w:spacing w:after="40"/>
      </w:pPr>
      <w:r>
        <w:t>Les délais sont suivis mensuellement et présentés en CODIR. Les directions métiers qui ne respectent pas les engagements voient leurs réquisitions arbitrées selon la criticité business et la disponibilité des ressources TA.</w:t>
      </w:r>
    </w:p>
    <w:sectPr w:rsidR="00FC693F" w:rsidRPr="0006063C" w:rsidSect="00034616">
      <w:pgSz w:w="12240" w:h="15840"/>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