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2933"/>
          <w:sz w:val="36"/>
        </w:rPr>
        <w:t>Fiche outil 2 - Checklist d'auto-évaluation du Plan RH 2027</w:t>
      </w:r>
    </w:p>
    <w:p>
      <w:r>
        <w:t>Objectif : vérifier la robustesse du dossier RH avant passage en CODIR et arbitrage budgétaire.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E9EEF3"/>
          </w:tcPr>
          <w:p>
            <w:r/>
            <w:r>
              <w:rPr>
                <w:b/>
                <w:sz w:val="19"/>
              </w:rPr>
              <w:t>Critère</w:t>
            </w:r>
          </w:p>
        </w:tc>
        <w:tc>
          <w:tcPr>
            <w:tcW w:type="dxa" w:w="3456"/>
            <w:vAlign w:val="center"/>
            <w:shd w:fill="E9EEF3"/>
          </w:tcPr>
          <w:p>
            <w:r/>
            <w:r>
              <w:rPr>
                <w:b/>
                <w:sz w:val="19"/>
              </w:rPr>
              <w:t>Validation</w:t>
            </w:r>
          </w:p>
        </w:tc>
        <w:tc>
          <w:tcPr>
            <w:tcW w:type="dxa" w:w="3456"/>
            <w:vAlign w:val="center"/>
            <w:shd w:fill="E9EEF3"/>
          </w:tcPr>
          <w:p>
            <w:r/>
            <w:r>
              <w:rPr>
                <w:b/>
                <w:sz w:val="19"/>
              </w:rPr>
              <w:t>Commentaires / preuves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Chaque projet RH est directement rattaché à un objectif du plan stratégique global.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☐ Oui   ☐ Non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Le budget intègre les coûts directs, honoraires, abonnements, temps interne et coûts de déploiement.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☐ Oui   ☐ Non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Au moins 70% des investissements RH disposent d'un calcul de ROI ou d'évitement de coûts.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☐ Oui   ☐ Non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La masse salariale intègre l'effet Noria, le GVT, les augmentations et les charges sociales.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☐ Oui   ☐ Non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Le plan retient un nombre limité de chantiers structurants, idéalement 5 à 7 maximum.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☐ Oui   ☐ Non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Une version arbitrée à -15% et -30% du budget est préparée.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☐ Oui   ☐ Non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Les directions métiers ont été consultées et ont validé les capacités RH nécessaires.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☐ Oui   ☐ Non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L'équipe RH dispose de la bande passante et des compétences de pilotage suffisantes.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☐ Oui   ☐ Non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Le calendrier est réaliste sur 12 mois et évite les goulets d'étranglement.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☐ Oui   ☐ Non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Chaque chantier comporte un KPI mesurable et un point d'étape trimestriel.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  <w:t>☐ Oui   ☐ Non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r>
        <w:t>Décision : si plus de trois critères restent non validés, le plan doit être retravaillé avant présentation formelle.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