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32"/>
        </w:rPr>
        <w:t>Fiche outil - Dictionnaire des KPIs RH</w:t>
      </w:r>
    </w:p>
    <w:p>
      <w:pPr>
        <w:jc w:val="center"/>
      </w:pPr>
      <w:r>
        <w:rPr>
          <w:color w:val="505050"/>
          <w:sz w:val="18"/>
        </w:rPr>
        <w:t>Guide de calcul pour fiabiliser les indicateurs du dashboard</w:t>
      </w:r>
    </w:p>
    <w:p>
      <w:pPr>
        <w:pStyle w:val="Heading2"/>
      </w:pPr>
      <w:r>
        <w:t>1. Coût total de la main-d’œuvre (TCOW)</w:t>
      </w:r>
    </w:p>
    <w:p>
      <w:r>
        <w:rPr>
          <w:b/>
        </w:rPr>
        <w:t xml:space="preserve">Formule : </w:t>
      </w:r>
      <w:r>
        <w:t>TCOW = salaires bruts + variable + cotisations patronales + avantages + intérim + prestataires externes + coûts légaux</w:t>
      </w:r>
    </w:p>
    <w:p>
      <w:r>
        <w:rPr>
          <w:b/>
        </w:rPr>
        <w:t xml:space="preserve">Utilisation CODIR : </w:t>
      </w:r>
      <w:r>
        <w:t>Mesure l’empreinte financière réelle du travail. À rapporter au chiffre d’affaires ou à la valeur ajoutée.</w:t>
      </w:r>
    </w:p>
    <w:p>
      <w:pPr>
        <w:pStyle w:val="Heading2"/>
      </w:pPr>
      <w:r>
        <w:t>2. Cost per hire complet</w:t>
      </w:r>
    </w:p>
    <w:p>
      <w:r>
        <w:rPr>
          <w:b/>
        </w:rPr>
        <w:t xml:space="preserve">Formule : </w:t>
      </w:r>
      <w:r>
        <w:t>Cost per hire = honoraires + annonces + licences ATS/CVthèques + temps interne recruteurs/managers + cooptation + événements / nombre de recrutements</w:t>
      </w:r>
    </w:p>
    <w:p>
      <w:r>
        <w:rPr>
          <w:b/>
        </w:rPr>
        <w:t xml:space="preserve">Utilisation CODIR : </w:t>
      </w:r>
      <w:r>
        <w:t>Inclure le temps passé par les managers pour éviter de sous-estimer le coût réel.</w:t>
      </w:r>
    </w:p>
    <w:p>
      <w:pPr>
        <w:pStyle w:val="Heading2"/>
      </w:pPr>
      <w:r>
        <w:t>3. ROI formation / re-skilling</w:t>
      </w:r>
    </w:p>
    <w:p>
      <w:r>
        <w:rPr>
          <w:b/>
        </w:rPr>
        <w:t xml:space="preserve">Formule : </w:t>
      </w:r>
      <w:r>
        <w:t>ROI = gains de productivité + recrutements évités - coût du plan / coût total du plan</w:t>
      </w:r>
    </w:p>
    <w:p>
      <w:r>
        <w:rPr>
          <w:b/>
        </w:rPr>
        <w:t xml:space="preserve">Utilisation CODIR : </w:t>
      </w:r>
      <w:r>
        <w:t>À utiliser pour défendre les budgets de montée en compétences devant la Direction Financière.</w:t>
      </w:r>
    </w:p>
    <w:p>
      <w:pPr>
        <w:pStyle w:val="Heading2"/>
      </w:pPr>
      <w:r>
        <w:t>4. eNPS</w:t>
      </w:r>
    </w:p>
    <w:p>
      <w:r>
        <w:rPr>
          <w:b/>
        </w:rPr>
        <w:t xml:space="preserve">Formule : </w:t>
      </w:r>
      <w:r>
        <w:t>eNPS = % promoteurs (9-10) - % détracteurs (0-6)</w:t>
      </w:r>
    </w:p>
    <w:p>
      <w:r>
        <w:rPr>
          <w:b/>
        </w:rPr>
        <w:t xml:space="preserve">Utilisation CODIR : </w:t>
      </w:r>
      <w:r>
        <w:t>Score exprimé de -100 à +100. Les passifs (7-8) sont exclus du calcul.</w:t>
      </w:r>
    </w:p>
    <w:p>
      <w:pPr>
        <w:pStyle w:val="Heading2"/>
      </w:pPr>
      <w:r>
        <w:t>5. Turnover regrettable</w:t>
      </w:r>
    </w:p>
    <w:p>
      <w:r>
        <w:rPr>
          <w:b/>
        </w:rPr>
        <w:t xml:space="preserve">Formule : </w:t>
      </w:r>
      <w:r>
        <w:t>Départs volontaires de profils critiques / effectif moyen des profils critiques</w:t>
      </w:r>
    </w:p>
    <w:p>
      <w:r>
        <w:rPr>
          <w:b/>
        </w:rPr>
        <w:t xml:space="preserve">Utilisation CODIR : </w:t>
      </w:r>
      <w:r>
        <w:t>Distinguer les départs à fort impact des sorties sans effet stratégique majeur.</w:t>
      </w:r>
    </w:p>
    <w:p>
      <w:pPr>
        <w:pStyle w:val="Heading2"/>
      </w:pPr>
      <w:r>
        <w:t>Gouvernance minimale de la donnée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shd w:fill="FF004A"/>
          </w:tcPr>
          <w:p>
            <w:r/>
            <w:r>
              <w:rPr>
                <w:b/>
                <w:color w:val="FFFFFF"/>
                <w:sz w:val="17"/>
              </w:rPr>
              <w:t>Variable</w:t>
            </w:r>
          </w:p>
        </w:tc>
        <w:tc>
          <w:tcPr>
            <w:tcW w:type="dxa" w:w="2664"/>
            <w:shd w:fill="FF004A"/>
          </w:tcPr>
          <w:p>
            <w:r/>
            <w:r>
              <w:rPr>
                <w:b/>
                <w:color w:val="FFFFFF"/>
                <w:sz w:val="17"/>
              </w:rPr>
              <w:t>Source</w:t>
            </w:r>
          </w:p>
        </w:tc>
        <w:tc>
          <w:tcPr>
            <w:tcW w:type="dxa" w:w="2664"/>
            <w:shd w:fill="FF004A"/>
          </w:tcPr>
          <w:p>
            <w:r/>
            <w:r>
              <w:rPr>
                <w:b/>
                <w:color w:val="FFFFFF"/>
                <w:sz w:val="17"/>
              </w:rPr>
              <w:t>Fréquence</w:t>
            </w:r>
          </w:p>
        </w:tc>
        <w:tc>
          <w:tcPr>
            <w:tcW w:type="dxa" w:w="2664"/>
            <w:shd w:fill="FF004A"/>
          </w:tcPr>
          <w:p>
            <w:r/>
            <w:r>
              <w:rPr>
                <w:b/>
                <w:color w:val="FFFFFF"/>
                <w:sz w:val="17"/>
              </w:rPr>
              <w:t>Responsable</w:t>
            </w:r>
          </w:p>
        </w:tc>
      </w:tr>
      <w:tr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Effectif ETP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SIRH / paie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Mensuelle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Contrôle de gestion sociale</w:t>
            </w:r>
          </w:p>
        </w:tc>
      </w:tr>
      <w:tr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Masse salariale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Paie / finance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Mensuelle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DAF + DRH</w:t>
            </w:r>
          </w:p>
        </w:tc>
      </w:tr>
      <w:tr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Compétences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LMS / référentiel métiers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Trimestrielle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Talent manager</w:t>
            </w:r>
          </w:p>
        </w:tc>
      </w:tr>
      <w:tr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Turnover critique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SIRH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Mensuelle</w:t>
            </w:r>
          </w:p>
        </w:tc>
        <w:tc>
          <w:tcPr>
            <w:tcW w:type="dxa" w:w="2664"/>
          </w:tcPr>
          <w:p>
            <w:r/>
            <w:r>
              <w:rPr>
                <w:b w:val="0"/>
                <w:sz w:val="17"/>
              </w:rPr>
              <w:t>HRBP</w:t>
            </w:r>
          </w:p>
        </w:tc>
      </w:tr>
    </w:tbl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326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3262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