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Fiche outil 2 – Enquête Total Rewards</w:t>
      </w:r>
    </w:p>
    <w:p>
      <w:pPr>
        <w:jc w:val="center"/>
      </w:pPr>
      <w:r>
        <w:rPr>
          <w:color w:val="666666"/>
          <w:sz w:val="18"/>
        </w:rPr>
        <w:t>Questionnaire d’attractivité des avantages sociaux</w:t>
      </w:r>
    </w:p>
    <w:p>
      <w:r>
        <w:t>Objectif : mesurer la notoriété, l’usage, la satisfaction et les préférences des collaborateurs concernant les avantages sociaux.</w:t>
      </w:r>
    </w:p>
    <w:p>
      <w:pPr>
        <w:pStyle w:val="Heading1"/>
      </w:pPr>
      <w:r>
        <w:t>Section 1 – Informations générales</w:t>
      </w:r>
    </w:p>
    <w:p>
      <w:pPr>
        <w:pStyle w:val="ListBullet"/>
      </w:pPr>
      <w:r>
        <w:t>Tranche d’âge : 18-30 ans / 31-45 ans / 46 ans et plus</w:t>
      </w:r>
    </w:p>
    <w:p>
      <w:pPr>
        <w:pStyle w:val="ListBullet"/>
      </w:pPr>
      <w:r>
        <w:t>Statut : Non-cadre / Cadre / Cadre dirigeant</w:t>
      </w:r>
    </w:p>
    <w:p>
      <w:pPr>
        <w:pStyle w:val="ListBullet"/>
      </w:pPr>
      <w:r>
        <w:t>Ancienneté : moins de 2 ans / 2 à 5 ans / plus de 5 ans</w:t>
      </w:r>
    </w:p>
    <w:p>
      <w:pPr>
        <w:pStyle w:val="Heading1"/>
      </w:pPr>
      <w:r>
        <w:t>Section 2 – Notoriété et utilisation</w:t>
      </w:r>
    </w:p>
    <w:p>
      <w:pPr>
        <w:pStyle w:val="ListBullet"/>
      </w:pPr>
      <w:r>
        <w:t>Mutuelle santé : utilisée et satisfaisante / utilisée mais insuffisante / non connue</w:t>
      </w:r>
    </w:p>
    <w:p>
      <w:pPr>
        <w:pStyle w:val="ListBullet"/>
      </w:pPr>
      <w:r>
        <w:t>Retraite complémentaire : valeur comprise / connue mais peu lisible / non connue</w:t>
      </w:r>
    </w:p>
    <w:p>
      <w:pPr>
        <w:pStyle w:val="ListBullet"/>
      </w:pPr>
      <w:r>
        <w:t>Restauration : utilisée quotidiennement / occasionnellement / jamais utilisée</w:t>
      </w:r>
    </w:p>
    <w:p>
      <w:pPr>
        <w:pStyle w:val="Heading1"/>
      </w:pPr>
      <w:r>
        <w:t>Section 3 – Arbitrage sous contraintes</w:t>
      </w:r>
    </w:p>
    <w:p>
      <w:pPr>
        <w:pStyle w:val="ListBullet"/>
      </w:pPr>
      <w:r>
        <w:t>Classez par priorité : couverture santé renforcée</w:t>
      </w:r>
    </w:p>
    <w:p>
      <w:pPr>
        <w:pStyle w:val="ListBullet"/>
      </w:pPr>
      <w:r>
        <w:t>Classez par priorité : enveloppe restauration revalorisée</w:t>
      </w:r>
    </w:p>
    <w:p>
      <w:pPr>
        <w:pStyle w:val="ListBullet"/>
      </w:pPr>
      <w:r>
        <w:t>Classez par priorité : budget mobilité ou télétravail</w:t>
      </w:r>
    </w:p>
    <w:p>
      <w:pPr>
        <w:pStyle w:val="ListBullet"/>
      </w:pPr>
      <w:r>
        <w:t>Classez par priorité : abondement retraite ou épargne</w:t>
      </w:r>
    </w:p>
    <w:p>
      <w:pPr>
        <w:pStyle w:val="Heading1"/>
      </w:pPr>
      <w:r>
        <w:t>Section 4 – Lisibilité de la rémunération globale</w:t>
      </w:r>
    </w:p>
    <w:p>
      <w:pPr>
        <w:pStyle w:val="ListBullet"/>
      </w:pPr>
      <w:r>
        <w:t>Avez-vous une vision claire de ce que l’entreprise dépense pour vous ? Oui / Partiellement / Non</w:t>
      </w:r>
    </w:p>
    <w:p>
      <w:pPr>
        <w:pStyle w:val="ListBullet"/>
      </w:pPr>
      <w:r>
        <w:t>Souhaitez-vous recevoir un bilan social individuel annuel ? Oui / Indifférent / Non</w:t>
      </w:r>
    </w:p>
    <w:p>
      <w:r>
        <w:t>Méthode d’exploitation : croiser les réponses avec l’âge, l’ancienneté, le statut, la localisation, le métier et le niveau d’utilisation réel des dispositifs.</w:t>
      </w:r>
    </w:p>
    <w:sectPr w:rsidR="00FC693F" w:rsidRPr="0006063C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FF00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42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0242A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