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</w:pPr>
      <w:r>
        <w:rPr>
          <w:rFonts w:ascii="Arial" w:hAnsi="Arial"/>
          <w:b/>
          <w:color w:val="000000"/>
          <w:sz w:val="48"/>
        </w:rPr>
        <w:t>Registre des interfaces et recette de migration SIRH</w:t>
      </w:r>
    </w:p>
    <w:p>
      <w:pPr>
        <w:spacing w:after="360" w:line="276" w:lineRule="auto"/>
      </w:pPr>
      <w:r>
        <w:rPr>
          <w:rFonts w:ascii="Arial" w:hAnsi="Arial"/>
          <w:sz w:val="22"/>
        </w:rPr>
        <w:t>Cette fiche documente les échanges de données, leurs contrôles et les responsabilités associées. Elle structure également les reprises de données et les rapprochements à réaliser avant la mise en production.</w:t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Informations générales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Entreprise et périmètre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RH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Responsable DSI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Intégrateur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Version du registre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de validation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Catalogue des interfaces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ID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Données</w:t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Sens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Fréquence</w:t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Propriétaire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Criticité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FLX-01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FLX-02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FLX-03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FLX-04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FLX-05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FLX-06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FLX-07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FLX-08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FLX-09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FLX-10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FLX-11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FLX-12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FLX-13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FLX-14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FLX-15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94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93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51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H ☐ M ☐ F</w:t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Contrat de données pour les flux prioritaires</w:t>
      </w:r>
    </w:p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Flux prioritaire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Identifiant et nom du flux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Événement déclencheur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 qui fait foi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Champs obligatoires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Règles de transformation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Fréquence et délai maximal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Contrôles avant envoi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Traitement des doublons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Traitement des rejets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Journal et preuve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Mode dégradé et reprise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Flux prioritaire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Identifiant et nom du flux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Événement déclencheur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 qui fait foi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Champs obligatoires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Règles de transformation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Fréquence et délai maximal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Contrôles avant envoi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Traitement des doublons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Traitement des rejets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Journal et preuve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Mode dégradé et reprise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2"/>
        <w:keepNext/>
        <w:spacing w:before="280" w:after="140"/>
      </w:pPr>
      <w:r>
        <w:rPr>
          <w:rFonts w:ascii="Arial" w:hAnsi="Arial"/>
          <w:b/>
          <w:color w:val="000000"/>
        </w:rPr>
        <w:t>Flux prioritaire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Identifiant et nom du flux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Événement déclencheur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Source qui fait foi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Champs obligatoires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Règles de transformation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Fréquence et délai maximal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Contrôles avant envoi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Traitement des doublons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Traitement des rejets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Journal et preuve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Mode dégradé et reprise</w:t>
            </w:r>
          </w:p>
        </w:tc>
        <w:tc>
          <w:tcPr>
            <w:tcW w:type="dxa" w:w="7056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Plan de migration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Lot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Objet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Règle de reprise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Volume attendu</w:t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Responsable</w:t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202020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Date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MIG-01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MIG-02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MIG-03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MIG-04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MIG-05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MIG-06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MIG-07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MIG-08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MIG-09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MIG-10</w:t>
            </w:r>
          </w:p>
        </w:tc>
        <w:tc>
          <w:tcPr>
            <w:tcW w:type="dxa" w:w="17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44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44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0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Contrôles de reprise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rPr>
          <w:tblHeader w:val="true"/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Contrôle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Source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Cible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Écart toléré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Résultat</w:t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Preuve</w:t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004A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Statut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Nombre de collaborateurs actifs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Matricules uniques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Affectations et managers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Contrats en cours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Soldes d’absence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Éléments fixes de paie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Coordonnées bancaires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Historique requis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Habilitations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Total de contrôle financier</w:t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22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230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</w:r>
          </w:p>
        </w:tc>
        <w:tc>
          <w:tcPr>
            <w:tcW w:type="dxa" w:w="1080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☐ OK</w:t>
              <w:br/>
              <w:t>☐ KO</w:t>
            </w:r>
          </w:p>
        </w:tc>
      </w:tr>
    </w:tbl>
    <w:p>
      <w:r>
        <w:br w:type="page"/>
      </w:r>
    </w:p>
    <w:p>
      <w:pPr>
        <w:pStyle w:val="Heading1"/>
        <w:keepNext/>
        <w:spacing w:before="280" w:after="140"/>
      </w:pPr>
      <w:r>
        <w:rPr>
          <w:rFonts w:ascii="Arial" w:hAnsi="Arial"/>
          <w:b/>
          <w:color w:val="000000"/>
        </w:rPr>
        <w:t>Procès verbal de recette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Lots validés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Écarts restant ouverts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Corrections attendues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Données à ressaisir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Décision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☐ Accepter   ☐ Accepter sous réserves   ☐ Refuser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Date d’effet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8F8F8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</w:r>
          </w:p>
        </w:tc>
      </w:tr>
      <w:tr>
        <w:trPr>
          <w:cantSplit/>
        </w:trPr>
        <w:tc>
          <w:tcPr>
            <w:tcW w:type="dxa" w:w="3384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2F2F2"/>
          </w:tcPr>
          <w:p>
            <w:pPr>
              <w:spacing w:after="0" w:line="252" w:lineRule="auto"/>
            </w:pPr>
            <w:r>
              <w:rPr>
                <w:rFonts w:ascii="Arial" w:hAnsi="Arial"/>
                <w:b/>
                <w:sz w:val="19"/>
              </w:rPr>
              <w:t>Signatures</w:t>
            </w:r>
          </w:p>
        </w:tc>
        <w:tc>
          <w:tcPr>
            <w:tcW w:type="dxa" w:w="7128"/>
            <w:vAlign w:val="center"/>
            <w:tcMar>
              <w:top w:w="110" w:type="dxa"/>
              <w:start w:w="120" w:type="dxa"/>
              <w:bottom w:w="11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DRH :                 DSI :                 Intégrateur :</w:t>
            </w:r>
          </w:p>
        </w:tc>
      </w:tr>
    </w:tbl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