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36"/>
        </w:rPr>
        <w:t>Fiche outil 2 - Kit manager pour l’entretien BSI</w:t>
      </w:r>
    </w:p>
    <w:p>
      <w:pPr>
        <w:jc w:val="center"/>
      </w:pPr>
      <w:r>
        <w:rPr>
          <w:i/>
          <w:sz w:val="20"/>
        </w:rPr>
        <w:t>Script d’échange et réponses aux objections fréquentes</w:t>
      </w:r>
    </w:p>
    <w:p>
      <w:r>
        <w:rPr>
          <w:sz w:val="18"/>
        </w:rPr>
        <w:t>Objectif : aider le manager à présenter le BSI comme un outil de transparence sur la rémunération globale, sans le transformer en négociation salariale parallèle.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c>
          <w:tcPr>
            <w:tcW w:type="dxa" w:w="5179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Séquence</w:t>
            </w:r>
          </w:p>
        </w:tc>
        <w:tc>
          <w:tcPr>
            <w:tcW w:type="dxa" w:w="5179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Message manager</w:t>
            </w:r>
          </w:p>
        </w:tc>
        <w:tc>
          <w:tcPr>
            <w:tcW w:type="dxa" w:w="5179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Point d’attention RH</w:t>
            </w:r>
          </w:p>
        </w:tc>
      </w:tr>
      <w:tr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Ouverture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Je souhaite prendre 15 minutes pour te présenter ton Bilan Social Individuel. Il donne une vision complète de ce que l’entreprise investit pour toi sur l’année écoulée.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Adopter un ton pédagogique, pas défensif.</w:t>
            </w:r>
          </w:p>
        </w:tc>
      </w:tr>
      <w:tr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Clarification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Ce document ne remplace pas la fiche de paie et ne préjuge pas des décisions d’augmentation. Il complète la lecture du salaire net.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Éviter toute confusion avec la campagne salariale.</w:t>
            </w:r>
          </w:p>
        </w:tc>
      </w:tr>
      <w:tr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Lecture du package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Nous regardons ensemble quatre blocs : rémunération directe, protection sociale, avantages, formation et cadre de travail.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Insister sur les composantes invisibles.</w:t>
            </w:r>
          </w:p>
        </w:tc>
      </w:tr>
      <w:tr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Objection net à payer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Le salaire net reste évidemment central. Le BSI permet simplement de montrer les dépenses que tu n’as pas à financer toi-même : mutuelle, retraite, protections, formation.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Reconnaître d’abord la préoccupation du collaborateur.</w:t>
            </w:r>
          </w:p>
        </w:tc>
      </w:tr>
      <w:tr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Objection cotisations obligatoires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Certaines cotisations sont légales, mais elles représentent bien un coût supporté par l’entreprise et financent une protection sociale réelle.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Ne pas présenter l’obligation légale comme un avantage discrétionnaire.</w:t>
            </w:r>
          </w:p>
        </w:tc>
      </w:tr>
      <w:tr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Clôture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Les questions techniques seront remontées à la RH. L’objectif aujourd’hui est que tu disposes d’une vision claire et complète de ta rémunération globale.</w:t>
            </w:r>
          </w:p>
        </w:tc>
        <w:tc>
          <w:tcPr>
            <w:tcW w:type="dxa" w:w="5179"/>
            <w:vAlign w:val="center"/>
          </w:tcPr>
          <w:p>
            <w:r/>
            <w:r>
              <w:rPr>
                <w:b w:val="0"/>
                <w:sz w:val="16"/>
              </w:rPr>
              <w:t>Prévoir une FAQ et un circuit de réponse RH.</w:t>
            </w:r>
          </w:p>
        </w:tc>
      </w:tr>
    </w:tbl>
    <w:p>
      <w:r>
        <w:rPr>
          <w:b/>
        </w:rPr>
        <w:t>Indicateurs de suivi</w:t>
      </w:r>
    </w:p>
    <w:p>
      <w:pPr>
        <w:pStyle w:val="ListBullet"/>
      </w:pPr>
      <w:r>
        <w:rPr>
          <w:sz w:val="16"/>
        </w:rPr>
        <w:t>Taux de consultation ou téléchargement du BSI.</w:t>
      </w:r>
    </w:p>
    <w:p>
      <w:pPr>
        <w:pStyle w:val="ListBullet"/>
      </w:pPr>
      <w:r>
        <w:rPr>
          <w:sz w:val="16"/>
        </w:rPr>
        <w:t>Score de compréhension de la rémunération globale après campagne.</w:t>
      </w:r>
    </w:p>
    <w:p>
      <w:pPr>
        <w:pStyle w:val="ListBullet"/>
      </w:pPr>
      <w:r>
        <w:rPr>
          <w:sz w:val="16"/>
        </w:rPr>
        <w:t>Évolution du sentiment de reconnaissance dans le baromètre interne.</w:t>
      </w:r>
    </w:p>
    <w:p>
      <w:pPr>
        <w:pStyle w:val="ListBullet"/>
      </w:pPr>
      <w:r>
        <w:rPr>
          <w:sz w:val="16"/>
        </w:rPr>
        <w:t>Qualité des échanges pendant la campagne salariale.</w:t>
      </w:r>
    </w:p>
    <w:p>
      <w:pPr>
        <w:pStyle w:val="ListBullet"/>
      </w:pPr>
      <w:r>
        <w:rPr>
          <w:sz w:val="16"/>
        </w:rPr>
        <w:t>Taux de rétention des profils clés après diffusion.</w:t>
      </w:r>
    </w:p>
    <w:sectPr w:rsidR="00FC693F" w:rsidRPr="0006063C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