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F004A"/>
          <w:sz w:val="36"/>
        </w:rPr>
        <w:t>Fiche Outil 2 - Modèle de clause SLA et pénalités pour achats RH</w:t>
      </w:r>
    </w:p>
    <w:p>
      <w:r>
        <w:rPr>
          <w:sz w:val="20"/>
        </w:rPr>
        <w:t>Objectif : formaliser des engagements de service mesurables dans les contrats de recrutement, SIRH, formation, paie externalisée ou conseil RH.</w:t>
      </w:r>
    </w:p>
    <w:p>
      <w:r>
        <w:rPr>
          <w:b/>
          <w:color w:val="FF004A"/>
          <w:sz w:val="24"/>
        </w:rPr>
        <w:t>Article 1 - Engagements de niveau de service</w:t>
      </w:r>
    </w:p>
    <w:p>
      <w:pPr>
        <w:ind w:left="216"/>
      </w:pPr>
      <w:r>
        <w:rPr>
          <w:b/>
        </w:rPr>
        <w:t xml:space="preserve">• </w:t>
      </w:r>
      <w:r>
        <w:t>Le prestataire s’engage à respecter les niveaux de service quantitatifs et qualitatifs définis dans le contrat et ses annexes.</w:t>
      </w:r>
    </w:p>
    <w:p>
      <w:pPr>
        <w:ind w:left="216"/>
      </w:pPr>
      <w:r>
        <w:rPr>
          <w:b/>
        </w:rPr>
        <w:t xml:space="preserve">• </w:t>
      </w:r>
      <w:r>
        <w:t>Chaque indicateur doit préciser la cible minimale, la source de mesure, la fréquence de reporting et le responsable de validation côté client.</w:t>
      </w:r>
    </w:p>
    <w:p>
      <w:r>
        <w:rPr>
          <w:b/>
          <w:color w:val="FF004A"/>
          <w:sz w:val="24"/>
        </w:rPr>
        <w:t>Article 2 - Indicateurs recommandés par famille de service</w:t>
      </w:r>
    </w:p>
    <w:p>
      <w:pPr>
        <w:ind w:left="216"/>
      </w:pPr>
      <w:r>
        <w:rPr>
          <w:b/>
        </w:rPr>
        <w:t xml:space="preserve">• </w:t>
      </w:r>
      <w:r>
        <w:t>Recrutement : délai de présentation d’une shortlist qualifiée, taux de remplacement durant la période d’essai, qualité des profils présentés.</w:t>
      </w:r>
    </w:p>
    <w:p>
      <w:pPr>
        <w:ind w:left="216"/>
      </w:pPr>
      <w:r>
        <w:rPr>
          <w:b/>
        </w:rPr>
        <w:t xml:space="preserve">• </w:t>
      </w:r>
      <w:r>
        <w:t>SIRH SaaS : disponibilité de la plateforme, délai de prise en charge des incidents critiques, délai de résolution des anomalies bloquantes.</w:t>
      </w:r>
    </w:p>
    <w:p>
      <w:pPr>
        <w:ind w:left="216"/>
      </w:pPr>
      <w:r>
        <w:rPr>
          <w:b/>
        </w:rPr>
        <w:t xml:space="preserve">• </w:t>
      </w:r>
      <w:r>
        <w:t>Formation : taux de satisfaction à chaud, évaluation des acquis à froid, conformité des livrables pédagogiques.</w:t>
      </w:r>
    </w:p>
    <w:p>
      <w:pPr>
        <w:ind w:left="216"/>
      </w:pPr>
      <w:r>
        <w:rPr>
          <w:b/>
        </w:rPr>
        <w:t xml:space="preserve">• </w:t>
      </w:r>
      <w:r>
        <w:t>Paie externalisée : livraison des bulletins avant échéance, taux d’erreur maximal, conformité des déclarations sociales.</w:t>
      </w:r>
    </w:p>
    <w:p>
      <w:r>
        <w:rPr>
          <w:b/>
          <w:color w:val="FF004A"/>
          <w:sz w:val="24"/>
        </w:rPr>
        <w:t>Article 3 - Mécanisme de pénalités</w:t>
      </w:r>
    </w:p>
    <w:p>
      <w:pPr>
        <w:ind w:left="216"/>
      </w:pPr>
      <w:r>
        <w:rPr>
          <w:b/>
        </w:rPr>
        <w:t xml:space="preserve">• </w:t>
      </w:r>
      <w:r>
        <w:t>Tout retard non justifié peut entraîner une pénalité de 2 % du montant HT de la commande par semaine de retard, dans la limite d’un plafond contractuel.</w:t>
      </w:r>
    </w:p>
    <w:p>
      <w:pPr>
        <w:ind w:left="216"/>
      </w:pPr>
      <w:r>
        <w:rPr>
          <w:b/>
        </w:rPr>
        <w:t xml:space="preserve">• </w:t>
      </w:r>
      <w:r>
        <w:t>Toute indisponibilité d’un service SaaS sous le seuil garanti peut entraîner un avoir sur la redevance mensuelle.</w:t>
      </w:r>
    </w:p>
    <w:p>
      <w:pPr>
        <w:ind w:left="216"/>
      </w:pPr>
      <w:r>
        <w:rPr>
          <w:b/>
        </w:rPr>
        <w:t xml:space="preserve">• </w:t>
      </w:r>
      <w:r>
        <w:t>Toute erreur imputable au prestataire générant pénalité, retard ou surcoût doit faire l’objet d’une prise en charge documentée.</w:t>
      </w:r>
    </w:p>
    <w:p>
      <w:r>
        <w:rPr>
          <w:b/>
          <w:color w:val="FF004A"/>
          <w:sz w:val="24"/>
        </w:rPr>
        <w:t>Article 4 - Reporting et gouvernance</w:t>
      </w:r>
    </w:p>
    <w:p>
      <w:pPr>
        <w:ind w:left="216"/>
      </w:pPr>
      <w:r>
        <w:rPr>
          <w:b/>
        </w:rPr>
        <w:t xml:space="preserve">• </w:t>
      </w:r>
      <w:r>
        <w:t>Un comité de suivi mensuel ou trimestriel examine les SLA, les incidents, les plans correctifs et les arbitrages de reconduction.</w:t>
      </w:r>
    </w:p>
    <w:p>
      <w:pPr>
        <w:ind w:left="216"/>
      </w:pPr>
      <w:r>
        <w:rPr>
          <w:b/>
        </w:rPr>
        <w:t xml:space="preserve">• </w:t>
      </w:r>
      <w:r>
        <w:t>Le prestataire remet un reporting consolidé avant chaque comité, incluant les écarts aux cibles et les actions correctives proposées.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Famille</w:t>
            </w:r>
          </w:p>
        </w:tc>
        <w:tc>
          <w:tcPr>
            <w:tcW w:type="dxa" w:w="3456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SLA cible</w:t>
            </w:r>
          </w:p>
        </w:tc>
        <w:tc>
          <w:tcPr>
            <w:tcW w:type="dxa" w:w="3456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Pénalité possible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Recrutement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Shortlist qualifiée en 20 jours ouvrés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Réduction des honoraires par semaine de retard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SIRH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Disponibilité 99,5 % mensuelle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Avoir sur redevance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Formation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Satisfaction minimale 85 %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Nouvelle session ou refonte pédagogique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Paie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99,8 % de bulletins sans erreur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Prise en charge des coûts imputables</w:t>
            </w:r>
          </w:p>
        </w:tc>
      </w:tr>
    </w:tbl>
    <w:p>
      <w:r>
        <w:rPr>
          <w:i/>
          <w:sz w:val="16"/>
        </w:rPr>
        <w:t>Ce modèle doit être adapté par le service juridique à la nature du contrat, au droit applicable et aux délégations internes de l’entreprise.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