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40"/>
      </w:pPr>
      <w:r>
        <w:rPr>
          <w:rFonts w:ascii="Arial" w:hAnsi="Arial"/>
          <w:b/>
          <w:color w:val="000000"/>
          <w:sz w:val="48"/>
        </w:rPr>
        <w:t>Tableau de bord mensuel du recrutement ATS</w:t>
      </w:r>
    </w:p>
    <w:p>
      <w:pPr>
        <w:spacing w:after="360" w:line="276" w:lineRule="auto"/>
      </w:pPr>
      <w:r>
        <w:rPr>
          <w:rFonts w:ascii="Arial" w:hAnsi="Arial"/>
          <w:sz w:val="22"/>
        </w:rPr>
        <w:t>Cette fiche rassemble les délais, les conversions, la performance des sources, l’expérience candidat et les actions correctives. Les définitions doivent rester identiques d’une période à l’autre afin de rendre les comparaisons fiables.</w:t>
      </w:r>
    </w:p>
    <w:p>
      <w:pPr>
        <w:pStyle w:val="Heading1"/>
        <w:keepNext/>
        <w:spacing w:before="280" w:after="140"/>
      </w:pPr>
      <w:r>
        <w:rPr>
          <w:rFonts w:ascii="Arial" w:hAnsi="Arial"/>
          <w:b/>
          <w:color w:val="000000"/>
        </w:rPr>
        <w:t>Informations sur la période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rPr>
          <w:cantSplit/>
        </w:trPr>
        <w:tc>
          <w:tcPr>
            <w:tcW w:type="dxa" w:w="35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Entreprise et entités</w:t>
            </w:r>
          </w:p>
        </w:tc>
        <w:tc>
          <w:tcPr>
            <w:tcW w:type="dxa" w:w="69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5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Période analysée</w:t>
            </w:r>
          </w:p>
        </w:tc>
        <w:tc>
          <w:tcPr>
            <w:tcW w:type="dxa" w:w="69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5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Postes ouverts</w:t>
            </w:r>
          </w:p>
        </w:tc>
        <w:tc>
          <w:tcPr>
            <w:tcW w:type="dxa" w:w="69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5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Postes pourvus</w:t>
            </w:r>
          </w:p>
        </w:tc>
        <w:tc>
          <w:tcPr>
            <w:tcW w:type="dxa" w:w="69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5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Recrutements annulés</w:t>
            </w:r>
          </w:p>
        </w:tc>
        <w:tc>
          <w:tcPr>
            <w:tcW w:type="dxa" w:w="69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5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Responsable du reporting</w:t>
            </w:r>
          </w:p>
        </w:tc>
        <w:tc>
          <w:tcPr>
            <w:tcW w:type="dxa" w:w="69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5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Date de revue</w:t>
            </w:r>
          </w:p>
        </w:tc>
        <w:tc>
          <w:tcPr>
            <w:tcW w:type="dxa" w:w="69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</w:tbl>
    <w:p>
      <w:pPr>
        <w:pStyle w:val="Heading1"/>
        <w:keepNext/>
        <w:spacing w:before="280" w:after="140"/>
      </w:pPr>
      <w:r>
        <w:rPr>
          <w:rFonts w:ascii="Arial" w:hAnsi="Arial"/>
          <w:b/>
          <w:color w:val="000000"/>
        </w:rPr>
        <w:t>Entonnoir et délais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81"/>
        <w:gridCol w:w="1481"/>
        <w:gridCol w:w="1481"/>
        <w:gridCol w:w="1481"/>
        <w:gridCol w:w="1481"/>
        <w:gridCol w:w="1481"/>
        <w:gridCol w:w="1481"/>
      </w:tblGrid>
      <w:tr>
        <w:trPr>
          <w:tblHeader w:val="true"/>
          <w:cantSplit/>
        </w:trPr>
        <w:tc>
          <w:tcPr>
            <w:tcW w:type="dxa" w:w="32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Étape</w:t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Entrées</w:t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Sorties</w:t>
            </w:r>
          </w:p>
        </w:tc>
        <w:tc>
          <w:tcPr>
            <w:tcW w:type="dxa" w:w="13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Conversion</w:t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Cible</w:t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Réel</w:t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Écart</w:t>
            </w:r>
          </w:p>
        </w:tc>
      </w:tr>
      <w:tr>
        <w:trPr>
          <w:cantSplit/>
        </w:trPr>
        <w:tc>
          <w:tcPr>
            <w:tcW w:type="dxa" w:w="32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Candidatures reçues</w:t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3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2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Présélections</w:t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3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2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Validations managers</w:t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3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2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Premiers entretiens</w:t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3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2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Entretiens finaux</w:t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3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2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Offres émises</w:t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3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2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Offres acceptées</w:t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3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2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Prises de poste</w:t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3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</w:tbl>
    <w:p>
      <w:pPr>
        <w:pStyle w:val="Heading1"/>
        <w:keepNext/>
        <w:pageBreakBefore/>
        <w:spacing w:before="280" w:after="140"/>
      </w:pPr>
      <w:r>
        <w:rPr>
          <w:rFonts w:ascii="Arial" w:hAnsi="Arial"/>
          <w:b/>
          <w:color w:val="000000"/>
        </w:rPr>
        <w:t>Performance par source</w:t>
      </w:r>
    </w:p>
    <w:p>
      <w:pPr>
        <w:spacing w:after="140" w:line="264" w:lineRule="auto"/>
      </w:pPr>
      <w:r>
        <w:rPr>
          <w:rFonts w:ascii="Arial" w:hAnsi="Arial"/>
          <w:sz w:val="21"/>
        </w:rPr>
        <w:t>Comparer les sources à partir des embauches confirmées et non du seul volume de candidatures.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81"/>
        <w:gridCol w:w="1481"/>
        <w:gridCol w:w="1481"/>
        <w:gridCol w:w="1481"/>
        <w:gridCol w:w="1481"/>
        <w:gridCol w:w="1481"/>
        <w:gridCol w:w="1481"/>
      </w:tblGrid>
      <w:tr>
        <w:trPr>
          <w:tblHeader w:val="true"/>
          <w:cantSplit/>
        </w:trPr>
        <w:tc>
          <w:tcPr>
            <w:tcW w:type="dxa" w:w="30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Source</w:t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CV</w:t>
            </w: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Entretiens</w:t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Offres</w:t>
            </w: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Embauches</w:t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Coût</w:t>
            </w:r>
          </w:p>
        </w:tc>
        <w:tc>
          <w:tcPr>
            <w:tcW w:type="dxa" w:w="13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Qualité</w:t>
            </w:r>
          </w:p>
        </w:tc>
      </w:tr>
      <w:tr>
        <w:trPr>
          <w:cantSplit/>
        </w:trPr>
        <w:tc>
          <w:tcPr>
            <w:tcW w:type="dxa" w:w="30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Site carrière</w:t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3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0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Plateforme d’emploi 1</w:t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3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0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Plateforme d’emploi 2</w:t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3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0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Réseau professionnel</w:t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3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0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Cooptation</w:t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3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0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Écoles et universités</w:t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3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0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Cabinet externe</w:t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3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0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Événement emploi</w:t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3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0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Vivier interne</w:t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3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0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Candidature spontanée</w:t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3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</w:tbl>
    <w:p>
      <w:pPr>
        <w:pStyle w:val="Heading1"/>
        <w:keepNext/>
        <w:spacing w:before="280" w:after="140"/>
      </w:pPr>
      <w:r>
        <w:rPr>
          <w:rFonts w:ascii="Arial" w:hAnsi="Arial"/>
          <w:b/>
          <w:color w:val="000000"/>
        </w:rPr>
        <w:t>Qualité et expérience candidat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74"/>
        <w:gridCol w:w="2074"/>
        <w:gridCol w:w="2074"/>
        <w:gridCol w:w="2074"/>
        <w:gridCol w:w="2074"/>
      </w:tblGrid>
      <w:tr>
        <w:trPr>
          <w:tblHeader w:val="true"/>
          <w:cantSplit/>
        </w:trPr>
        <w:tc>
          <w:tcPr>
            <w:tcW w:type="dxa" w:w="25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Indicateur</w:t>
            </w:r>
          </w:p>
        </w:tc>
        <w:tc>
          <w:tcPr>
            <w:tcW w:type="dxa" w:w="32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Définition</w:t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Cible</w:t>
            </w:r>
          </w:p>
        </w:tc>
        <w:tc>
          <w:tcPr>
            <w:tcW w:type="dxa" w:w="13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Résultat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Commentaire</w:t>
            </w: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Acceptation des offres</w:t>
            </w:r>
          </w:p>
        </w:tc>
        <w:tc>
          <w:tcPr>
            <w:tcW w:type="dxa" w:w="32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3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Satisfaction candidat</w:t>
            </w:r>
          </w:p>
        </w:tc>
        <w:tc>
          <w:tcPr>
            <w:tcW w:type="dxa" w:w="32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3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Dossiers sans nouvelle</w:t>
            </w:r>
          </w:p>
        </w:tc>
        <w:tc>
          <w:tcPr>
            <w:tcW w:type="dxa" w:w="32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3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Réponses dans le délai</w:t>
            </w:r>
          </w:p>
        </w:tc>
        <w:tc>
          <w:tcPr>
            <w:tcW w:type="dxa" w:w="32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3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Embauches confirmées</w:t>
            </w:r>
          </w:p>
        </w:tc>
        <w:tc>
          <w:tcPr>
            <w:tcW w:type="dxa" w:w="32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3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Départs en période d’essai</w:t>
            </w:r>
          </w:p>
        </w:tc>
        <w:tc>
          <w:tcPr>
            <w:tcW w:type="dxa" w:w="32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3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Demandes de suppression</w:t>
            </w:r>
          </w:p>
        </w:tc>
        <w:tc>
          <w:tcPr>
            <w:tcW w:type="dxa" w:w="32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3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</w:tbl>
    <w:p>
      <w:pPr>
        <w:pStyle w:val="Heading1"/>
        <w:keepNext/>
        <w:pageBreakBefore/>
        <w:spacing w:before="280" w:after="140"/>
      </w:pPr>
      <w:r>
        <w:rPr>
          <w:rFonts w:ascii="Arial" w:hAnsi="Arial"/>
          <w:b/>
          <w:color w:val="000000"/>
        </w:rPr>
        <w:t>Analyse des temps morts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  <w:gridCol w:w="1728"/>
      </w:tblGrid>
      <w:tr>
        <w:trPr>
          <w:tblHeader w:val="true"/>
          <w:cantSplit/>
        </w:trPr>
        <w:tc>
          <w:tcPr>
            <w:tcW w:type="dxa" w:w="32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Transition</w:t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Cible</w:t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Médiane</w:t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Maximum</w:t>
            </w: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Cause</w:t>
            </w: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Action</w:t>
            </w:r>
          </w:p>
        </w:tc>
      </w:tr>
      <w:tr>
        <w:trPr>
          <w:cantSplit/>
        </w:trPr>
        <w:tc>
          <w:tcPr>
            <w:tcW w:type="dxa" w:w="32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Réception à présélection</w:t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2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Présélection à avis manager</w:t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2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Avis à planification</w:t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2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Entretien à compte rendu</w:t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2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Compte rendu à décision</w:t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2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Décision à validation offre</w:t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2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Offre à réponse candidat</w:t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2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Acceptation à prise de poste</w:t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</w:tbl>
    <w:p>
      <w:pPr>
        <w:pStyle w:val="Heading1"/>
        <w:keepNext/>
        <w:spacing w:before="280" w:after="140"/>
      </w:pPr>
      <w:r>
        <w:rPr>
          <w:rFonts w:ascii="Arial" w:hAnsi="Arial"/>
          <w:b/>
          <w:color w:val="000000"/>
        </w:rPr>
        <w:t>Plan d’action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  <w:gridCol w:w="1728"/>
      </w:tblGrid>
      <w:tr>
        <w:trPr>
          <w:tblHeader w:val="true"/>
          <w:cantSplit/>
        </w:trPr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ID</w:t>
            </w:r>
          </w:p>
        </w:tc>
        <w:tc>
          <w:tcPr>
            <w:tcW w:type="dxa" w:w="237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Problème</w:t>
            </w:r>
          </w:p>
        </w:tc>
        <w:tc>
          <w:tcPr>
            <w:tcW w:type="dxa" w:w="29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Action</w:t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Responsable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Échéance</w:t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Statut</w:t>
            </w:r>
          </w:p>
        </w:tc>
      </w:tr>
      <w:tr>
        <w:trPr>
          <w:cantSplit/>
        </w:trPr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ACT-01</w:t>
            </w:r>
          </w:p>
        </w:tc>
        <w:tc>
          <w:tcPr>
            <w:tcW w:type="dxa" w:w="237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29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ACT-02</w:t>
            </w:r>
          </w:p>
        </w:tc>
        <w:tc>
          <w:tcPr>
            <w:tcW w:type="dxa" w:w="237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29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ACT-03</w:t>
            </w:r>
          </w:p>
        </w:tc>
        <w:tc>
          <w:tcPr>
            <w:tcW w:type="dxa" w:w="237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29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ACT-04</w:t>
            </w:r>
          </w:p>
        </w:tc>
        <w:tc>
          <w:tcPr>
            <w:tcW w:type="dxa" w:w="237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29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ACT-05</w:t>
            </w:r>
          </w:p>
        </w:tc>
        <w:tc>
          <w:tcPr>
            <w:tcW w:type="dxa" w:w="237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29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ACT-06</w:t>
            </w:r>
          </w:p>
        </w:tc>
        <w:tc>
          <w:tcPr>
            <w:tcW w:type="dxa" w:w="237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29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</w:tbl>
    <w:p>
      <w:pPr>
        <w:pStyle w:val="Heading1"/>
        <w:keepNext/>
        <w:spacing w:before="280" w:after="140"/>
      </w:pPr>
      <w:r>
        <w:rPr>
          <w:rFonts w:ascii="Arial" w:hAnsi="Arial"/>
          <w:b/>
          <w:color w:val="000000"/>
        </w:rPr>
        <w:t>Clôture de la revue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rPr>
          <w:cantSplit/>
        </w:trPr>
        <w:tc>
          <w:tcPr>
            <w:tcW w:type="dxa" w:w="35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Trois constats principaux</w:t>
            </w:r>
          </w:p>
        </w:tc>
        <w:tc>
          <w:tcPr>
            <w:tcW w:type="dxa" w:w="69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5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Décisions prises</w:t>
            </w:r>
          </w:p>
        </w:tc>
        <w:tc>
          <w:tcPr>
            <w:tcW w:type="dxa" w:w="69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5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Risques à escalader</w:t>
            </w:r>
          </w:p>
        </w:tc>
        <w:tc>
          <w:tcPr>
            <w:tcW w:type="dxa" w:w="69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5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Prochaine revue et signatures</w:t>
            </w:r>
          </w:p>
        </w:tc>
        <w:tc>
          <w:tcPr>
            <w:tcW w:type="dxa" w:w="69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Date :          RH :          Managers :          Direction :</w:t>
            </w:r>
          </w:p>
        </w:tc>
      </w:tr>
    </w:tbl>
    <w:sectPr w:rsidR="00FC693F" w:rsidRPr="0006063C" w:rsidSect="00034616">
      <w:pgSz w:w="12240" w:h="15840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