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40"/>
      </w:pPr>
      <w:r>
        <w:rPr>
          <w:rFonts w:ascii="Arial" w:hAnsi="Arial"/>
          <w:b/>
          <w:color w:val="000000"/>
          <w:sz w:val="48"/>
        </w:rPr>
        <w:t>Grille de calcul du coût total d’un SIRH</w:t>
      </w:r>
    </w:p>
    <w:p>
      <w:pPr>
        <w:spacing w:after="360" w:line="276" w:lineRule="auto"/>
      </w:pPr>
      <w:r>
        <w:rPr>
          <w:rFonts w:ascii="Arial" w:hAnsi="Arial"/>
          <w:sz w:val="22"/>
        </w:rPr>
        <w:t>Cette fiche recense le coût du fonctionnement actuel et le coût complet du projet sur plusieurs années. Elle distingue les dépenses initiales, récurrentes et internes.</w:t>
      </w:r>
    </w:p>
    <w:p>
      <w:pPr>
        <w:pStyle w:val="Heading1"/>
        <w:keepNext/>
        <w:spacing w:before="280" w:after="140"/>
      </w:pPr>
      <w:r>
        <w:rPr>
          <w:rFonts w:ascii="Arial" w:hAnsi="Arial"/>
          <w:b/>
          <w:color w:val="000000"/>
        </w:rPr>
        <w:t>Hypothèses générales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84"/>
        <w:gridCol w:w="5184"/>
      </w:tblGrid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Effectif concerné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Processus couverts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Horizon en années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Date de référence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Scénario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Responsable RH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Responsable DAF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Responsable DSI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</w:p>
        </w:tc>
      </w:tr>
    </w:tbl>
    <w:p>
      <w:pPr>
        <w:pStyle w:val="Heading1"/>
        <w:keepNext/>
        <w:pageBreakBefore/>
        <w:spacing w:before="280" w:after="140"/>
      </w:pPr>
      <w:r>
        <w:rPr>
          <w:rFonts w:ascii="Arial" w:hAnsi="Arial"/>
          <w:b/>
          <w:color w:val="000000"/>
        </w:rPr>
        <w:t>Coût annuel du fonctionnement actuel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  <w:gridCol w:w="1728"/>
      </w:tblGrid>
      <w:tr>
        <w:trPr>
          <w:tblHeader w:val="true"/>
          <w:cantSplit/>
        </w:trPr>
        <w:tc>
          <w:tcPr>
            <w:tcW w:type="dxa" w:w="259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Poste</w:t>
            </w:r>
          </w:p>
        </w:tc>
        <w:tc>
          <w:tcPr>
            <w:tcW w:type="dxa" w:w="12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Volume</w:t>
            </w: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Coût unitaire</w:t>
            </w: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Année 1</w:t>
            </w: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Années suivantes</w:t>
            </w:r>
          </w:p>
        </w:tc>
        <w:tc>
          <w:tcPr>
            <w:tcW w:type="dxa" w:w="17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Preuve</w:t>
            </w:r>
          </w:p>
        </w:tc>
      </w:tr>
      <w:tr>
        <w:trPr>
          <w:cantSplit/>
        </w:trPr>
        <w:tc>
          <w:tcPr>
            <w:tcW w:type="dxa" w:w="259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Temps administratif</w:t>
            </w:r>
          </w:p>
        </w:tc>
        <w:tc>
          <w:tcPr>
            <w:tcW w:type="dxa" w:w="12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7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59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Erreurs et reprises</w:t>
            </w:r>
          </w:p>
        </w:tc>
        <w:tc>
          <w:tcPr>
            <w:tcW w:type="dxa" w:w="12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7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59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Prestations externes</w:t>
            </w:r>
          </w:p>
        </w:tc>
        <w:tc>
          <w:tcPr>
            <w:tcW w:type="dxa" w:w="12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7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59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Licences et maintenance</w:t>
            </w:r>
          </w:p>
        </w:tc>
        <w:tc>
          <w:tcPr>
            <w:tcW w:type="dxa" w:w="12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7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59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Impression et archivage</w:t>
            </w:r>
          </w:p>
        </w:tc>
        <w:tc>
          <w:tcPr>
            <w:tcW w:type="dxa" w:w="12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7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59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Interfaces manuelles</w:t>
            </w:r>
          </w:p>
        </w:tc>
        <w:tc>
          <w:tcPr>
            <w:tcW w:type="dxa" w:w="12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7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59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Incidents constatés</w:t>
            </w:r>
          </w:p>
        </w:tc>
        <w:tc>
          <w:tcPr>
            <w:tcW w:type="dxa" w:w="12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7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</w:tbl>
    <w:p>
      <w:pPr>
        <w:pStyle w:val="Heading1"/>
        <w:keepNext/>
        <w:pageBreakBefore/>
        <w:spacing w:before="280" w:after="140"/>
      </w:pPr>
      <w:r>
        <w:rPr>
          <w:rFonts w:ascii="Arial" w:hAnsi="Arial"/>
          <w:b/>
          <w:color w:val="000000"/>
        </w:rPr>
        <w:t>Coûts initiaux du projet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  <w:gridCol w:w="1728"/>
      </w:tblGrid>
      <w:tr>
        <w:trPr>
          <w:tblHeader w:val="true"/>
          <w:cantSplit/>
        </w:trPr>
        <w:tc>
          <w:tcPr>
            <w:tcW w:type="dxa" w:w="259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Poste</w:t>
            </w:r>
          </w:p>
        </w:tc>
        <w:tc>
          <w:tcPr>
            <w:tcW w:type="dxa" w:w="12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Volume</w:t>
            </w: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Coût unitaire</w:t>
            </w: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Année 1</w:t>
            </w: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Années suivantes</w:t>
            </w:r>
          </w:p>
        </w:tc>
        <w:tc>
          <w:tcPr>
            <w:tcW w:type="dxa" w:w="17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Preuve</w:t>
            </w:r>
          </w:p>
        </w:tc>
      </w:tr>
      <w:tr>
        <w:trPr>
          <w:cantSplit/>
        </w:trPr>
        <w:tc>
          <w:tcPr>
            <w:tcW w:type="dxa" w:w="259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Cadrage</w:t>
            </w:r>
          </w:p>
        </w:tc>
        <w:tc>
          <w:tcPr>
            <w:tcW w:type="dxa" w:w="12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7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59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Paramétrage</w:t>
            </w:r>
          </w:p>
        </w:tc>
        <w:tc>
          <w:tcPr>
            <w:tcW w:type="dxa" w:w="12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7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59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Intégration</w:t>
            </w:r>
          </w:p>
        </w:tc>
        <w:tc>
          <w:tcPr>
            <w:tcW w:type="dxa" w:w="12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7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59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Migration des données</w:t>
            </w:r>
          </w:p>
        </w:tc>
        <w:tc>
          <w:tcPr>
            <w:tcW w:type="dxa" w:w="12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7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59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Recette</w:t>
            </w:r>
          </w:p>
        </w:tc>
        <w:tc>
          <w:tcPr>
            <w:tcW w:type="dxa" w:w="12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7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59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Formation</w:t>
            </w:r>
          </w:p>
        </w:tc>
        <w:tc>
          <w:tcPr>
            <w:tcW w:type="dxa" w:w="12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7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59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Communication</w:t>
            </w:r>
          </w:p>
        </w:tc>
        <w:tc>
          <w:tcPr>
            <w:tcW w:type="dxa" w:w="12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7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59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Temps des équipes internes</w:t>
            </w:r>
          </w:p>
        </w:tc>
        <w:tc>
          <w:tcPr>
            <w:tcW w:type="dxa" w:w="12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7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59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Réserve pour aléas</w:t>
            </w:r>
          </w:p>
        </w:tc>
        <w:tc>
          <w:tcPr>
            <w:tcW w:type="dxa" w:w="12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7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</w:tbl>
    <w:p>
      <w:pPr>
        <w:pStyle w:val="Heading1"/>
        <w:keepNext/>
        <w:pageBreakBefore/>
        <w:spacing w:before="280" w:after="140"/>
      </w:pPr>
      <w:r>
        <w:rPr>
          <w:rFonts w:ascii="Arial" w:hAnsi="Arial"/>
          <w:b/>
          <w:color w:val="000000"/>
        </w:rPr>
        <w:t>Coûts récurrents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  <w:gridCol w:w="1728"/>
      </w:tblGrid>
      <w:tr>
        <w:trPr>
          <w:tblHeader w:val="true"/>
          <w:cantSplit/>
        </w:trPr>
        <w:tc>
          <w:tcPr>
            <w:tcW w:type="dxa" w:w="259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Poste</w:t>
            </w:r>
          </w:p>
        </w:tc>
        <w:tc>
          <w:tcPr>
            <w:tcW w:type="dxa" w:w="12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Volume</w:t>
            </w: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Coût unitaire</w:t>
            </w: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Année 1</w:t>
            </w: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Années suivantes</w:t>
            </w:r>
          </w:p>
        </w:tc>
        <w:tc>
          <w:tcPr>
            <w:tcW w:type="dxa" w:w="17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Preuve</w:t>
            </w:r>
          </w:p>
        </w:tc>
      </w:tr>
      <w:tr>
        <w:trPr>
          <w:cantSplit/>
        </w:trPr>
        <w:tc>
          <w:tcPr>
            <w:tcW w:type="dxa" w:w="259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Abonnements</w:t>
            </w:r>
          </w:p>
        </w:tc>
        <w:tc>
          <w:tcPr>
            <w:tcW w:type="dxa" w:w="12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7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59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Support</w:t>
            </w:r>
          </w:p>
        </w:tc>
        <w:tc>
          <w:tcPr>
            <w:tcW w:type="dxa" w:w="12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7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59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Administration</w:t>
            </w:r>
          </w:p>
        </w:tc>
        <w:tc>
          <w:tcPr>
            <w:tcW w:type="dxa" w:w="12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7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59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Interfaces</w:t>
            </w:r>
          </w:p>
        </w:tc>
        <w:tc>
          <w:tcPr>
            <w:tcW w:type="dxa" w:w="12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7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59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Sécurité</w:t>
            </w:r>
          </w:p>
        </w:tc>
        <w:tc>
          <w:tcPr>
            <w:tcW w:type="dxa" w:w="12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7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59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Évolutions</w:t>
            </w:r>
          </w:p>
        </w:tc>
        <w:tc>
          <w:tcPr>
            <w:tcW w:type="dxa" w:w="12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7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59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Montée en charge</w:t>
            </w:r>
          </w:p>
        </w:tc>
        <w:tc>
          <w:tcPr>
            <w:tcW w:type="dxa" w:w="12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7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59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Réversibilité</w:t>
            </w:r>
          </w:p>
        </w:tc>
        <w:tc>
          <w:tcPr>
            <w:tcW w:type="dxa" w:w="12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7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</w:tr>
    </w:tbl>
    <w:p>
      <w:pPr>
        <w:pStyle w:val="Heading1"/>
        <w:keepNext/>
        <w:spacing w:before="280" w:after="140"/>
      </w:pPr>
      <w:r>
        <w:rPr>
          <w:rFonts w:ascii="Arial" w:hAnsi="Arial"/>
          <w:b/>
          <w:color w:val="000000"/>
        </w:rPr>
        <w:t>Synthèse du TCO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84"/>
        <w:gridCol w:w="5184"/>
      </w:tblGrid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Coût du statu quo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Coût initial du projet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Coût récurrent cumulé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Coût interne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TCO sur l’horizon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Hypothèses à confirmer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</w:r>
          </w:p>
        </w:tc>
      </w:tr>
    </w:tbl>
    <w:sectPr w:rsidR="00FC693F" w:rsidRPr="0006063C" w:rsidSect="00034616">
      <w:pgSz w:w="12240" w:h="15840"/>
      <w:pgMar w:top="936" w:right="936" w:bottom="936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