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Charte pratique de la donnée au dialogue managérial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encadre l’utilisation des indicateurs RH afin qu’ils déclenchent une vérification et une conversation, sans devenir des preuves automatiques ni des outils de surveillance.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Équipe ou direction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données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Indicateurs concernés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Revue des indicateurs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Limite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Interdit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Heures supplémentaires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Charge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Contexte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Échange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Sanction auto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Congés non pris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Repos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Choix personnel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Planifier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Pression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Absentéisme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Prévention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Multi-cause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Vérifier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Diagnostic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Engagement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Climat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Agrégé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Écouter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Ciblage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Objectifs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Pilotage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Qualité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Ajuster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Score seul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Compétences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Accès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Proposer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Stigmatiser</w:t>
            </w: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Avant la collecte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Finalité explicite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 réellement nécessaire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Alternative moins intrusive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des collaborateurs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de conservation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autorisés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Avant la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Vérifier la qualité de la donnée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Croiser avec le contexte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Préparer une question ouverte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Choisir un cadre confidentiel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Éviter toute conclusion préalable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Prévoir une orientation RH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Après la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Formaliser l’action convenue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Limiter les notes sensibles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Fixer une échéance de suivi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une donnée erronée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Escalader si nécessaire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Évaluer l’effet de l’action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Engagement managérial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Indicateurs autorisés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Décisions exclues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Canal de contestation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Support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Formation requise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Manager / RH / Conformité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